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social_capital_digital_inequality</w:t>
      </w:r>
    </w:p>
    <w:p>
      <w:r>
        <w:t xml:space="preserve"> </w:t>
      </w:r>
    </w:p>
    <w:p>
      <w:pPr>
        <w:pStyle w:val="Heading2"/>
      </w:pPr>
      <w:r>
        <w:t>Title</w:t>
      </w:r>
    </w:p>
    <w:p>
      <w:r>
        <w:t>Regression-based analysis of how social capital, digital literacy, and socioeconomic status influence access to higher education among Chinese high school graduates</w:t>
      </w:r>
    </w:p>
    <w:p>
      <w:r>
        <w:t xml:space="preserve"> </w:t>
      </w:r>
    </w:p>
    <w:p>
      <w:pPr>
        <w:pStyle w:val="Heading2"/>
      </w:pPr>
      <w:r>
        <w:t>Short Hypothesis</w:t>
      </w:r>
    </w:p>
    <w:p>
      <w:r>
        <w:t>Higher levels of social capital cause an increased probability of enrollment in higher education within 12 months of graduation, and this causal effect is moderated by digital literacy and socioeconomic status.</w:t>
      </w:r>
    </w:p>
    <w:p>
      <w:r>
        <w:t xml:space="preserve"> </w:t>
      </w:r>
    </w:p>
    <w:p>
      <w:pPr>
        <w:pStyle w:val="Heading2"/>
      </w:pPr>
      <w:r>
        <w:t>Related Work</w:t>
      </w:r>
    </w:p>
    <w:p>
      <w:r>
        <w:t>Prior work studying educational access has used three broad approaches: (1) descriptive survey analyses that correlate family socioeconomic status (SES) or simple network measures with enrollment; (2) psychometric construction of social-capital and digital-literacy scales using factor analysis or item response theory; and (3) multilevel regressions or instrumental-variable attempts to isolate causal effects. Limitations of existing approaches include reliance on convenience samples or unweighted surveys that ignore clustering; measurement approaches that omit objective digital tasks or fail to propagate measurement error; limited power analyses for interaction effects; weak treatment of identification (confounding by prior achievement and aspiration); and inconsistent handling of missing data and small-group measurement invariance. Few studies jointly estimate latent measurement error, account for school/province clustering, and pre-register interaction probing and multiple-testing rules, leaving open uncertainty about effect sizes and generalizability across regions.</w:t>
      </w:r>
    </w:p>
    <w:p>
      <w:r>
        <w:t xml:space="preserve"> </w:t>
      </w:r>
    </w:p>
    <w:p>
      <w:pPr>
        <w:pStyle w:val="Heading2"/>
      </w:pPr>
      <w:r>
        <w:t>Abstract</w:t>
      </w:r>
    </w:p>
    <w:p>
      <w:r>
        <w:t>This study investigates whether and how social capital shapes Chinese high school graduates' access to higher education, and whether digital literacy and socioeconomic status (SES) modify that relationship. Using a national survey of 629 graduates sampled across eastern, central, and western provinces, we build validated latent measures for social capital and digital literacy that combine name-generator items and short objective digital tasks. We use regression-based analyses—linear probability models with cluster-robust standard errors and multilevel logistic models with random intercepts for schools and provinces—to estimate main effects and prespecified two-way interactions (social_capital×SES and social_capital×digital_literacy). We run simulation-based power analyses that respect observed cluster sizes and plausible intraclass correlations, and we propagate measurement uncertainty via multilevel multiple imputation and latent-variable models. Expected outcomes include quantified average marginal effects, minimum detectable interaction effects, and region-specific heterogeneity estimates. Results will clarify mechanisms by which networks and digital skills reproduce or mitigate inequality in higher-education access and will produce reproducible code and de-identified data products compliant with local privacy rules.</w:t>
      </w:r>
    </w:p>
    <w:p>
      <w:r>
        <w:t xml:space="preserve"> </w:t>
      </w:r>
    </w:p>
    <w:p>
      <w:pPr>
        <w:pStyle w:val="Heading2"/>
      </w:pPr>
      <w:r>
        <w:t>Methodology</w:t>
      </w:r>
    </w:p>
    <w:p>
      <w:r>
        <w:t>Data preparation: document sampling frame, cluster IDs, cluster sizes, and response rates; compute design effect and effective sample size using cluster deff = 1 + (mean cluster size - 1) * ICC and weight deff = n * sum(w_i^2)/sum(w_i)^2. Measurement: build social-capital measures from a name-generator (up to five helpers), position-generator items, and help-type checklist; build digital-literacy measures combining device access, self-report hours, and three short objective tasks (timed web-search, navigation, interpretation). Use EFA on a held-out 30% sample and CFA/IRT on the remaining 70% with ordinal estimation (WLSMV) to produce latent scores. Missing data: apply multilevel joint-model multiple imputation (eg. jomo or mice with random-intercept support) including cluster indicators and weights; use m = 20-50 imputations depending on fraction of missing information. Measurement error: prefer one-stage multilevel structural equation models (SEM) or Bayesian estimation to jointly estimate latent constructs and outcome effects; if two-stage, extract factor/IRT scores inside each imputed dataset and pool results with Rubin's rules. Modeling: primary models are linear probability model (LPM) with cluster-robust standard errors and multilevel logistic regression with random intercepts for school and province. Pre-specify covariates: prior achievement (coded continuous or banded), gender, urban/rural, school type, household composition, province fixed effects, and aspiration proxy. Interactions: pre-specify two interactions: social_capital × SES and social_capital × digital_literacy; standardize continuous predictors (mean 0, SD 1) so interaction coefficients are interpretable. Causal framing: use a DAG to document assumptions and treat results as associational unless an IV/quasi-experiment satisfies exclusion restrictions. Power and priors: run simulation-based power with observed cluster sizes and ICCs 0.02/0.05/0.10; consider Bayesian multilevel models with weakly informative priors (example: Normal(0,0.2) on standardized interactions) to stabilize interaction estimates. Presentation: report average marginal effects (AMEs) and simple slopes at -1, 0, +1 SD and tertiles; present pooled and region-stratified results only when effective sample size or posterior precision meets pre-specified thresholds.</w:t>
      </w:r>
    </w:p>
    <w:p>
      <w:r>
        <w:t xml:space="preserve"> </w:t>
      </w:r>
    </w:p>
    <w:p>
      <w:pPr>
        <w:pStyle w:val="Heading2"/>
      </w:pPr>
      <w:r>
        <w:t>Experiments</w:t>
      </w:r>
    </w:p>
    <w:p>
      <w:r>
        <w:t>Datasets: primary survey n = 629 with school and province cluster identifiers and sampling weights; simulated datasets for power analysis generated using observed cluster-size distribution and ICC scenarios {0.02, 0.05, 0.10}. Baselines: (A) LPM without interactions; (B) multilevel logit without interactions; (C) LPM with interactions but using sum-based indices; (D) multilevel SEM joint-latent model; (E) Bayesian multilevel model with weakly informative priors. Evaluation metrics: average marginal effect (AME) on binary enrollment within 12 months, 95% confidence or credible intervals, power and minimum detectable effect (MDE) for interactions at 80% detection probability, standard errors clustered by school, AIC/BIC for model fit, and ROC-AUC for predictive checks. Setup: 1) Measurement pipeline: split sample 30/70 for EFA/CFA; run GRM IRT for polytomous items and extract theta scores. 2) Imputation: perform m = 40 multilevel imputations including all covariates and cluster IDs. 3) Estimation: for each imputed dataset, fit LPM with cluster-robust SEs and multilevel logit (random intercepts for school and province); pool estimates via Rubin's rules. 4) Bayesian alternative: run brms or equivalent with priors Normal(0,1) for main effects and Normal(0,0.2) for standardized interactions, 4 chains, 2000 warmup, 2000 posterior draws. 5) Power sims: run 2000 replications per ICC and effect-size scenario (interaction betas standardized in {0.10,0.15,0.20,0.25}) fitting the multilevel model to compute detection frequency. Ablation studies: (i) compare factor-based latent scores vs sum vs IRT theta; (ii) compare complete-case vs multiple imputation; (iii) compare LPM cluster-robust vs multilevel logit; (iv) compare frequentist vs Bayesian priors. Report region-specific results (east/central/west) and present MDE tables per region.</w:t>
      </w:r>
    </w:p>
    <w:p>
      <w:r>
        <w:t xml:space="preserve"> </w:t>
      </w:r>
    </w:p>
    <w:p>
      <w:pPr>
        <w:pStyle w:val="Heading2"/>
      </w:pPr>
      <w:r>
        <w:t>Risk Factors And Limitations</w:t>
      </w:r>
    </w:p>
    <w:p>
      <w:r>
        <w:t>Limited sample size and clustering: effective sample size may be substantially lower than n=629 after design effects, reducing power to detect interaction effects, especially in region or urban/rural subgroups. Measurement bias: name-generator recall error and social desirability can bias social-capital reports; objective digital tasks may be affected by device type and network speed, causing mode effects. Missing data mechanisms: non-ignorable missingness (MNAR) could bias results; standard MI assumes missing at random. Identification limits: observational design risks confounding by unobserved aspiration or family motivation; IV candidates may violate exclusion restrictions or be unavailable. Measurement invariance: small subgroup sizes can prevent strict scalar invariance, complicating cross-group comparisons. Generalizability: sample frame and response patterns may limit generalization to all Chinese graduates. Computational limits: Bayesian multilevel SEM can be slow and require substantial compute for convergence. Legal/privacy constraints: PIPL rules may limit sharing of microdata and inhibit external replication.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