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chatgpt4_student_prompt_texts_reading_trial</w:t>
      </w:r>
    </w:p>
    <w:p>
      <w:r>
        <w:t xml:space="preserve"> </w:t>
      </w:r>
    </w:p>
    <w:p>
      <w:pPr>
        <w:pStyle w:val="Heading2"/>
      </w:pPr>
      <w:r>
        <w:t>Title</w:t>
      </w:r>
    </w:p>
    <w:p>
      <w:r>
        <w:t>Using ChatGPT-4 to generate student-prompted texts to improve fourth-graders' reading, comprehension, and reading motivation: a mixed-method sequential explanatory study</w:t>
      </w:r>
    </w:p>
    <w:p>
      <w:r>
        <w:t xml:space="preserve"> </w:t>
      </w:r>
    </w:p>
    <w:p>
      <w:pPr>
        <w:pStyle w:val="Heading2"/>
      </w:pPr>
      <w:r>
        <w:t>Short Hypothesis</w:t>
      </w:r>
    </w:p>
    <w:p>
      <w:r>
        <w:t>Providing fourth-grade students with texts generated by ChatGPT-4 from their own prompts will cause greater gains in standardized reading comprehension scores and self-reported reading motivation than teacher-written texts or usual instruction.</w:t>
      </w:r>
    </w:p>
    <w:p>
      <w:r>
        <w:t xml:space="preserve"> </w:t>
      </w:r>
    </w:p>
    <w:p>
      <w:pPr>
        <w:pStyle w:val="Heading2"/>
      </w:pPr>
      <w:r>
        <w:t>Related Work</w:t>
      </w:r>
    </w:p>
    <w:p>
      <w:r>
        <w:t>Prior approaches have used (1) teacher-authored personalized texts, (2) leveled commercially produced readers, and (3) adaptive digital platforms to support elementary reading. Teacher-authored personalization preserves relevance but is time-consuming and not scalable. Commercial leveled readers provide controlled difficulty but lack individual choice and novelty. Adaptive platforms can track engagement but often generate limited or templated text and do not use open student prompts. Studies using AI text generation for education are emergent; reported weaknesses include uncontrolled factual errors (hallucinations), inconsistent reading level control, unmeasured teacher workload, and few randomized trials in real classrooms. Existing mediation analyses rarely measure temporally ordered motivation change, and many small-sample studies lack cluster-aware inference. Gaps remain in (a) comparing AI-generated personalized texts against matched human-written controls, (b) automated factuality and provenance checks suitable for children, (c) explicit fidelity metrics for teacher edits, and (d) linking motivation change to comprehension gains in a cluster-randomized, Solomon four-group design.</w:t>
      </w:r>
    </w:p>
    <w:p>
      <w:r>
        <w:t xml:space="preserve"> </w:t>
      </w:r>
    </w:p>
    <w:p>
      <w:pPr>
        <w:pStyle w:val="Heading2"/>
      </w:pPr>
      <w:r>
        <w:t>Abstract</w:t>
      </w:r>
    </w:p>
    <w:p>
      <w:r>
        <w:t>This study tests whether texts generated by ChatGPT-4 from fourth-grade students' own prompts can improve reading skill, comprehension, and reading motivation. We implement a sequential explanatory mixed-methods study using a Solomon four-group classroom-randomized experiment and a focused qualitative case study. The intervention uses an automated generation pipeline that constrains reading level, extracts simple target vocabulary, applies a retrieval-based factuality check, and logs provenance; teachers review and approve texts before classroom use. Primary outcome is standardized comprehension (GORT-5 or validated CBM-R alternative); secondary outcomes include a short Motivation for Reading Questionnaire (MRQ), fluency, time-on-task, and fidelity metrics (teacher edits and review time). Quantitative analysis uses multilevel models accounting for clustering and pretest sensitization; mediation models test whether motivation change explains comprehension gains. Qualitative data explain implementation pathways and heterogeneity. Expected contribution: rigorous evidence about educational effects, practical fidelity and safety procedures for classroom AI text use, and empirical insight into motivational mechanisms.</w:t>
      </w:r>
    </w:p>
    <w:p>
      <w:r>
        <w:t xml:space="preserve"> </w:t>
      </w:r>
    </w:p>
    <w:p>
      <w:pPr>
        <w:pStyle w:val="Heading2"/>
      </w:pPr>
      <w:r>
        <w:t>Methodology</w:t>
      </w:r>
    </w:p>
    <w:p>
      <w:r>
        <w:t>1. Participants and sampling: recruit fourth-grade classrooms in two public schools; randomize at the classroom level into four Solomon arms (pretest+intervention, pretest+control, no-pretest+intervention, no-pretest+control). Aim to document actual cluster sizes and report MDEs. 2. Prompt collection: ask each student to write one short prompt (1–2 sentences) about a topic they care about. Store prompt_hash and anonymized_student_id. 3. Text generation: send each prompt to ChatGPT-4 with a system instruction that requests a 250–350 word passage at grade 3.5–5.0 reading level, 3 target vocabulary words with child-friendly definitions, and 8 comprehension questions (literal, inferential, evaluative). Save model_version and RNG seed. 4. Factuality and safety pipeline: run retrieval-augmented verification (fetch top K child-appropriate documents for extracted factual claims; see note below). Compute an aggregate confidence score S_T (explained below). If S_T ≥0.70, pass; if 0.50≤S_T&lt;0.70, apply a deterministic rewrite prompt to simplify/remove claims and re-check once; if S_T&lt;0.50 or two failures, flag and replace with teacher-written text. "Retrieval-augmented verification" means searching vetted reference texts to check claims. 5. Teacher review: teachers review each generated text, record time_spent and revision_count, and mark whether edits were substantive (&gt;minor wording) or minor. 6. Intervention delivery: over a planned dose (e.g., 6 sessions across 3 weeks), students read AI or control texts in class with brief teacher scaffolding (guided questions, summarizing). 7. Assessments: administer primary comprehension measure (GORT-5 or CBM-R) and MRQ at scheduled times per Solomon design (pretest where applicable, mid, immediate post, 6–8 week follow-up). 8. Logging and provenance: persist anonymized IDs, prompt_hash, model settings, S_T, readability metrics, teacher_approval_flag, and timestamps. 9. Qualitative case study: sample classrooms for observations, student and teacher interviews, and artifact collection. 10. Analysis: use multilevel mixed-effects models with random intercepts for school and class, mediation SEM for motivation, and report cluster-robust inference. Explanation of technical terms: "S_T" is a single number summarizing how well generated facts match trusted sources; "embeddings" are numerical vectors that let the system find similar texts in a database.</w:t>
      </w:r>
    </w:p>
    <w:p>
      <w:r>
        <w:t xml:space="preserve"> </w:t>
      </w:r>
    </w:p>
    <w:p>
      <w:pPr>
        <w:pStyle w:val="Heading2"/>
      </w:pPr>
      <w:r>
        <w:t>Experiments</w:t>
      </w:r>
    </w:p>
    <w:p>
      <w:r>
        <w:t>1. Design: Solomon four-group cluster-randomized trial at classroom level. Arms: A1 pretest+AI, A2 pretest+teacher-text, A3 no-pretest+AI, A4 no-pretest+teacher-text. Randomization stratified by school and baseline class reading tercile. 2. Participants/Datasets: live classroom data from ~106 students across available classrooms. Record per-student: baseline reading score, MRQ, demographic covariates, ELL status, and intervention dose. 3. Baselines: (a) teacher-written texts created from the same student prompts (active control), (b) usual reading instruction (if available as secondary comparison). 4. Primary outcome: posttest standardized comprehension score (GORT-5 comprehension subscore or CBM-R alternative). Secondary outcomes: open-response rubric sum (0–5 per item), reading fluency (words correct per minute), MRQ intrinsic enjoyment and reading self-concept subscales, time-on-task, voluntary reading counts, fidelity metrics (teacher review time, substantive edit rate). 5. Evaluation metrics: effect size (standardized mean difference), adjusted mean differences with 95% CIs, p-values; ICCs at class and school level; mediation indirect effect with bootstrap 5,000 resamples; rater ICC for open responses (target ≥0.80). 6. Statistical models: primary ITT analysis via two-level mixed-effects model: Post_ij = β0 + β1*Intervention_j + β2*PretestIndicator_j + β3*(Intervention_j*PretestIndicator_j) + β4*BaselineScore_ij + covariates + u_school + u_class + ε_ij. Use REML and cluster-robust SEs. Sensitivity analyses: multilevel multiple imputation (m=50), permutation tests at cluster level if clusters are few, and pattern-mixture models for MNAR. 7. Ablations and comparisons: (A) AI vs teacher-text baseline; (B) within AI arm: S_T pass vs S_T flagged texts to assess factuality effect; (C) teacher-edited vs teacher-approved-without-edit subgroup to test effect of substantive edits; (D) dose-response: low (≤2 texts) vs high (≥4 texts). 8. Qualitative integration: produce joint displays mapping qualitative themes to quantitative heterogeneity (dose, fidelity, ELL status). 9. Sample-size reporting: compute and report realized Minimum Detectable Effects (MDEs) for actual number of clusters and attrition scenarios before final inference.</w:t>
      </w:r>
    </w:p>
    <w:p>
      <w:r>
        <w:t xml:space="preserve"> </w:t>
      </w:r>
    </w:p>
    <w:p>
      <w:pPr>
        <w:pStyle w:val="Heading2"/>
      </w:pPr>
      <w:r>
        <w:t>Risk Factors And Limitations</w:t>
      </w:r>
    </w:p>
    <w:p>
      <w:r>
        <w:t>1. Technical failure: ChatGPT-4 may produce factual errors or culturally inappropriate content (hallucinations); factuality pipeline may misclassify borderline claims (false positives/negatives). 2. Power and clustering: with limited classrooms, the study may be underpowered to detect small effects; cluster imbalance or high ICCs reduce precision. 3. Teacher burden and fidelity: teacher review time and high substantive edit rates may reduce scalability and introduce variability in treatment delivery. 4. Measurement limits: GORT-5 licensing or access issues could force use of alternatives with different psychometric properties; self-report MRQ may be biased by social desirability. 5. Generalization: results from two schools and one grade may not generalize to other grades, regions, languages, or socio-economic contexts. 6. Privacy and compliance: prompt text may contain student-identifying content; IRB/COPPA/FERPA constraints may restrict data sharing and reproducibility. 7. ELL and special needs: generated texts may not be equally accessible to English-language learners or students with reading difficulties; small subgroup sizes limit moderated inference. 8. Computational costs: retrieval-augmented verification and logging increase compute and storage requirements, which may challenge low-resource school deployments. 9. Analysis constraints: if cluster counts are very small, standard multilevel models may be invalid and alternative inference (permutation tests, descriptive focus) will limit causal claims.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