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switchboard_gender_variation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corpus-based variationist analysis of lexical, grammatical, and pragmatic gendered language patterns in Switchboard telephone conversations using multilevel statistical models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Speaker gender as recorded in Switchboard metadata causally correlates with measurable differences in rates of backchannels, hedges, mitigated directives, overlap-as-interruption, repairs, and tag questions after controlling for ageBand, region, topic, and dyad type.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analyzes gendered language in spontaneous telephone speech using large spoken corpora and variationist, corpus-based quantitative methods. Existing approaches include mixed-effects regression to handle nesting (speakers within conversations), Bayesian hierarchical models for partial pooling, and automated annotation (POS, dialogue acts, prosody). Limitations remain: many studies do not fully propagate annotation or tagger error into inference, temporal/sequential dependence is often treated simplistically or ignored, low-prevalence pragmatic categories suffer from low power or ad-hoc aggregation, and classifier-derived gender labels are sometimes used without robust ethics/uncertainty reporting. Power analyses in clustered multi-level designs are frequently underspecified. Model-selection and cross-validation schemes that avoid speaker-level leakage are under-used. Multiplicity control across lexical/grammatical/pragmatic families is inconsistent, reducing reproducibility of reported effects.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how recorded speaker gender relates to lexical, grammatical, and pragmatic patterns in spontaneous telephone speech from the Switchboard Dialogue Act Corpus. We combine corpus curation, forced-alignment and prosodic extraction, automated linguistic tagging, targeted pragmatic annotation, and multilevel statistical modeling. Main contributions are: (1) a reproducible pipeline that produces turn- and speaker-level feature matrices with provenance and de-identification markers; (2) simulation-based power estimates for clustered designs and concrete sample targets; and (3) an inference strategy that propagates annotation and tagger uncertainty into multilevel Bayesian models and compares lagged/sequential dependence models. We evaluate effects on pre-registered primary outcomes (backchannel, hedge, mitigated-directive, overlap-as-interruption, repair, tag questions) using Bayesian IRRs with hierarchical priors and complementary frequentist checks. Expected outcomes include quantified, reproducible estimates of gender-associated variation, clear limits of inference due to low-prevalence features, and open artifacts (code, synthetic examples, preregistration) to support transparent follow-up studies.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preparation: select Switchboard conversations and speakers, keep metadata fields (gender, ageBand, region, dyad_type, topicID). Treat missing/ambiguous gender as UNKNOWN. Produce harmonized metadata schema and versioned snapshots (DVC). 2) De-identification: run automated NER-based masking on transcripts and flag candidate audio spans; record masks in a secure ledger. 3) Alignment and prosody: use a forced aligner to map tokens to audio; extract F0, intensity, HNR, speech rate, and pause measures per token and per turn. (Forced aligner maps words to times; HNR is harmonic-to-noise ratio.) 4) Automatic annotation: run POS/dependency tagger, dialogue-act (DA) tagger, and disfluency tagger; output per-token confidence scores. 5) Pragmatic annotation: apply a minimal codebook (backchannel, hedge, mitigated directive, overlap-as-interruption, repair, tag question) on a stratified gold sample; compute IAA and iteratively adjudicate. 6) Feature assembly: aggregate token and turn features into turn- and speaker-level matrices with provenance fields. 7) Power and simulation: run simulation sweeps (simr/brms) that simulate crossed structure (speaker, conversation), vary ICCs (0.10–0.30), tokens-per-speaker, and prevalence to estimate minimal detectable IRRs. 8) Modeling and uncertainty propagation: primary models are multilevel GLMMs (negative-binomial for counts with offset log(tokens); Bernoulli for binary turns) implemented in Bayesian brms with hierarchical priors (Normal(0,1) on standardized predictors). Propagate annotation error using measurement-error models or multiple imputation of labels drawn from tagger confidence distributions (explain: imputation fills uncertain labels with plausible values repeatedly). 9) Sequence dependence: include previous-turn predictors and compare with Markov/permutation tests and state-space/HMM variants when needed. 10) Model checks: report R̂, effective sample size (ESS), LOO/WAIC, posterior predictive checks (PPCs), and variance components (ICCs). 11) Cross-validation: enforce speaker-level splits for train/validation/test to prevent leakage.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Switchboard Dialogue Act Corpus (~4,472 conversations, ~260 hours); stratified gold annotation sample (5–10% of turns) for IAA and de-id validation. Baselines: (A) fixed-effects models ignoring nesting; (B) mixed-effects models without propagation of annotation uncertainty; (C) frequentist GLMMs (lme4) vs Bayesian brms with hierarchical priors; (D) models without lagged predictors. Primary outcomes: backchannel_rate, hedge_rate, mitigated_directive_prop, overlap_interruption_rate, repair_rate, tag_question_prop. Evaluation metrics: for taggers: precision, recall, F1, and calibration (reliability curve); for models: incidence-rate ratios (IRR) or odds ratios (OR) with 95% credible/confidence intervals, posterior probability P(β&gt;0), LOO/WAIC for model comparison, and PPC summary statistics (e.g., predicted vs observed counts). Experimental setup: 1) Run simulation-based power sweeps across ICCs (0.10,0.20,0.30), varying speaker counts (100,200,300) and conversations (400,800,1000); report minimal detectable IRR at 80% power. 2) Fit baseline models and Bayesian hierarchical models on full feature matrices using speaker-level 5-fold cross-validation (folds by speakers; hold out all turns of held speakers) and a held-out conversation set for final evaluation. 3) Ablations: (i) remove annotation-error propagation to quantify bias in fixed effects; (ii) exclude lagged predictors to assess sequence-dependence impact; (iii) compare hierarchical pooling of low-prevalence pragmatics vs aggregated family indices vs zero-inflated models. 4) Sensitivity tests: re-run primary analyses excluding UNKNOWN genders and using classifier-predicted genders as a sensitivity check (do not impute without ethics approval). 5) Reporting: provide per-feature effect estimates, ICCs, raw counts, and standardized effect-size visualizations (marginal effects with uncertainty).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Annotation and tagger error: automated POS/DA/disfluency taggers may mislabel tokens; if error rates are high, propagated uncertainty may still bias fixed effects, especially for low-prevalence pragmatics. 2) Low-prevalence features: pragmatic codes under 1% prevalence will have very low power and unstable estimates. 3) De-identification limits: automated masking false negatives may exceed targets in rare cases; meeting strict FN &lt;1% may require large validation samples and external audit. 4) Temporal dependence complexity: sequence models (HMM/state-space) may be misspecified or overfit, making causal interpretation of lagged effects difficult. 5) Model convergence and compute: Bayesian multilevel models with many random effects or slopes can fail to converge or require high compute for adequate ESS. 6) Generalizability: Switchboard is historical and telephone-based; findings may not generalize to contemporary face-to-face or online speech. 7) Ethical constraints: classifier-derived gender labels cannot be used for primary imputations without IRB approval, limiting sample augmentation. 8) Multiplicity and interpretability: many correlated lexical features increase multiple-testing risk and may dilute clear inference. 9) Data leakage risk: incorrect splitting (e.g., splitting by conversation instead of speaker) can bias evaluation if not strictly enforced.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