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accented_malayalam_hate_speech_detection</w:t>
      </w:r>
    </w:p>
    <w:p>
      <w:r>
        <w:t xml:space="preserve"> </w:t>
      </w:r>
    </w:p>
    <w:p>
      <w:pPr>
        <w:pStyle w:val="Heading2"/>
      </w:pPr>
      <w:r>
        <w:t>Title</w:t>
      </w:r>
    </w:p>
    <w:p>
      <w:r>
        <w:t>A latent-space SMOTE and multi-level 1D-CNN framework with advanced acoustic feature engineering for hate speech detection in accented Malayalam speech</w:t>
      </w:r>
    </w:p>
    <w:p>
      <w:r>
        <w:t xml:space="preserve"> </w:t>
      </w:r>
    </w:p>
    <w:p>
      <w:pPr>
        <w:pStyle w:val="Heading2"/>
      </w:pPr>
      <w:r>
        <w:t>Short Hypothesis</w:t>
      </w:r>
    </w:p>
    <w:p>
      <w:r>
        <w:t>Applying latent-space SMOTE to encoder embeddings together with multi-level acoustic features and realistic audio augmentation will increase macro-F1 on speaker-independent hate speech detection in accented Malayalam speech by at least 5 percentage points compared to training without latent-space SMOTE.</w:t>
      </w:r>
    </w:p>
    <w:p>
      <w:r>
        <w:t xml:space="preserve"> </w:t>
      </w:r>
    </w:p>
    <w:p>
      <w:pPr>
        <w:pStyle w:val="Heading2"/>
      </w:pPr>
      <w:r>
        <w:t>Related Work</w:t>
      </w:r>
    </w:p>
    <w:p>
      <w:r>
        <w:t>Prior work on automated hate speech detection in speech has used engineered acoustic features (MFCCs, spectral features, prosody) and classical classifiers (Random Forests, SVMs) or deep models, showing that acoustic features help detect abusive content. Existing approaches often report strong results on single datasets or balanced subsets but have limitations: (1) poor treatment of accent variation and lack of speaker-independent validation, (2) simple oversampling or class-weighting that can create label noise and unrealistic audio when applied at the waveform or frame level, (3) limited testing under noise, reverberation, or codec degradations, and (4) few reproducible protocols for ethical annotation, synthetic data validation, and per-accent fairness. These gaps leave unresolved questions about generalization across accents, robustness to noise, and safe use of synthetic samples in training.</w:t>
      </w:r>
    </w:p>
    <w:p>
      <w:r>
        <w:t xml:space="preserve"> </w:t>
      </w:r>
    </w:p>
    <w:p>
      <w:pPr>
        <w:pStyle w:val="Heading2"/>
      </w:pPr>
      <w:r>
        <w:t>Abstract</w:t>
      </w:r>
    </w:p>
    <w:p>
      <w:r>
        <w:t>We address hate speech detection in accented Malayalam speech by proposing a pipeline that combines rich acoustic and phonetic features, controlled data augmentation, and a latent-space SMOTE procedure applied to encoder embeddings. The method extracts multi-level features (frame-level spectral features, MFCCs, prosody, and phone-duration cues), trains a compact encoder to produce low-dimensional embeddings, and applies Borderline/KMeans-SMOTE in that latent space to balance minority hate classes. We evaluate classical classifiers (SVM, Random Forest, XGBoost, LightGBM) and a standardized 1D-CNN architecture under multi-level validation: stratified, speaker-independent, cross-dataset, and noise-perturbed tests. Main contributions are (1) a reproducible latent-space oversampling policy with numeric acceptance criteria for synthetic samples, (2) a comprehensive feature suite combining acoustic and phonetic cues for accented Malayalam, and (3) a multi-condition evaluation protocol measuring accuracy, calibration, and per-accent fairness. Expected outcome: robust, generalizable hate speech detectors with documented limits on synthetic-data use and quantified per-accent performance.</w:t>
      </w:r>
    </w:p>
    <w:p>
      <w:r>
        <w:t xml:space="preserve"> </w:t>
      </w:r>
    </w:p>
    <w:p>
      <w:pPr>
        <w:pStyle w:val="Heading2"/>
      </w:pPr>
      <w:r>
        <w:t>Methodology</w:t>
      </w:r>
    </w:p>
    <w:p>
      <w:r>
        <w:t>1) Data curation and annotation: collect Malayalam speech from multiple sources and newly recorded samples with accent labels. Annotate each utterance with one of four labels: explicit hate, implicit hate, offensive, or neutral. Use ≥3 native annotators per item and record annotator confidence and rationale. Keep speaker IDs pseudonymized and store consent metadata. 2) Feature extraction: resample audio to 16 kHz and normalize. Compute per-frame STFT (n_fft=1024, hop=10 ms), mel-spectrogram (n_mels=128, fmin=50 Hz, fmax=8 kHz), MFCCs (n_mfcc=13) plus delta and delta-delta, ZCR (zero-crossing rate), RMS energy, spectral centroid/bandwidth/rolloff, spectral contrast and flatness, and spectral flux. Extract prosodic features: pitch contour (pYIN/parselmouth), voiced ratio, jitter, shimmer, and HNR (harmonics-to-noise). 3) Phonetic cues: run forced-alignment (Montreal Forced Aligner or validated Malayalam aligner) to obtain phone boundaries; derive phone durations, vowel/consonant ratios, and per-phone energy/pitch statistics. If aligner fails, fallback to energy-peak syllable-rate and ASR token timings. (Forced-alignment: phone boundary = time when phones start and end.) 4) Latent encoder and SMOTE: train an autoencoder or contrastive encoder on training fold features to get 64–128D embeddings (a low-dimensional numeric vector representing each utterance). Standardize embeddings (zero mean, unit variance). Apply PCA alternative (50–100 dims) if needed. Run Borderline-SMOTE or KMeans-SMOTE in this embedding space (synthetic samples are new embedding vectors, not raw audio). 5) Synthetic validation: for each synthetic batch compute per-dimension two-sample KS tests (accept if p &gt;= 0.01), multivariate Wasserstein distance (accept if &lt;= 0.5 on standardized embeddings), and Mel Cepstral Distortion (MCD) relative to minority-class training samples (accept if MCD &lt;= mean + 2*SD and absolute MCD &lt;= 6.0 dB). Also perform blind human plausibility checks on the larger of 100 samples or 5% of synthetics. 6) Augmentation: apply on-the-fly realistic augmentations during training: noise injection (MUSAN/DEMAND) with SNR in {20,15,10,5,0} dB, RIR reverberation (small/medium/large), time-stretch 0.9–1.1, pitch ±1–3 semitones, codec degradations (8/16/32 kbps), gain ±6 dB, and SpecAugment on spectrograms. 7) Classifiers: evaluate classical classifiers (logistic on summary stats, SVM(RBF), Random Forest, XGBoost, LightGBM) on aggregated utterance-level features and embeddings; design a standardized 1D-CNN with strided stem, 6–8 residual 1D conv blocks, dilation to cover ≈1 s receptive field, squeeze-and-excite or temporal attention, attentive pooling, and a 256-D embedding + softmax head. 8) Training and reproducibility: use GroupKFold speaker splits and fixed seeds. Store features in HDF5 with metadata and augmentation seeds. Containerize code (Docker + conda-lock). Technical terms explained: (a) SMOTE = a method that creates synthetic training points by interpolating feature vectors of minority-class samples; (b) encoder = a small neural network that maps variable-length input into a fixed-size numeric vector; (c) MCD = Mel Cepstral Distortion, a numeric measure of difference between two spectral envelopes (lower is closer).</w:t>
      </w:r>
    </w:p>
    <w:p>
      <w:r>
        <w:t xml:space="preserve"> </w:t>
      </w:r>
    </w:p>
    <w:p>
      <w:pPr>
        <w:pStyle w:val="Heading2"/>
      </w:pPr>
      <w:r>
        <w:t>Experiments</w:t>
      </w:r>
    </w:p>
    <w:p>
      <w:r>
        <w:t>Dataset and targets: pilot = 2,000 stratified utterances (balanced by accent and class). Full target = 4 major accent groups × 4 classes × 250 = 4,000 labeled utterances (250 per class per accent) as primary target; minimum acceptable = 4 classes × 4 accents × 120 = 1,920. Candidate cross-datasets for external testing: Mozilla Common Voice (Malayalam subset), ILSRC / OpenSLR Indic releases, and available Speech Accent Archive subsets. Baselines: (A) majority-class classifier (predict most frequent label), (B) logistic regression on simple summary acoustic stats (mean RMS, mean pitch, MFCC means), (C) shallow CNN on mel-spectrograms, (D) Random Forest on engineered features, (E) SVM(RBF), (F) XGBoost/LightGBM, (G) 1D-CNN described above. Expected baseline performance ranges (approx): majority macro-F1 ≈25%; logistic ≈35–50%; Random Forest ≈50–70%; 1D-CNN ≈55–75% depending on data and augmentation. Validation splits and protocol: use GroupKFold k=5 with speaker groups and accent stratification for CV; allocate train 70%, val 10–15%, test 15–20% stratified by accent. Also run an external cross-dataset holdout test (no shared speakers) and deterministic noise-perturbation tests at SNRs {20,15,10,5,0} dB and RIR small/med/large and codec bitrates {8,16,32} kbps. SMOTE ablation schedule (pre-registered): compare no-SMOTE, SMOTE in embedding space with synthetic caps per epoch {0% (no), 10%, 20%, 30%}, class-reweighting, and balanced-batch sampling. For sequence-decoding ablations test conditional decoder only if decoder+vocoder meet synthetic acceptance rules. Metrics: primary = macro-F1. Secondary = per-class precision/recall/F1, AUROC, AUPRC, ECE (10 bins), Brier score, per-accent delta-macroF1, false-positive rate (FPR) and false-negative rate (FNR) per accent. Statistical testing: paired bootstrap (10,000 resamples) for 95% CIs, paired tests with p&lt;0.05 and FDR correction for multiple comparisons. Synthetic acceptance numeric thresholds: per-dimension KS test p &gt;= 0.01; multivariate Wasserstein &lt;= 0.5 on standardized embeddings; MCD &lt;= mean(minority)+2*SD and absolute MCD &lt;= 6.0 dB; human plausibility samples = max(100, 5% of synthetics). Adversarial/robustness probes: FGSM L_inf budgets epsilon ∈ {0.005, 0.01} and deterministic SNR noise tests at {20,15,10,5,0} dB. Report results for each baseline and ablation, plus calibration curves and per-accent error heatmaps.</w:t>
      </w:r>
    </w:p>
    <w:p>
      <w:r>
        <w:t xml:space="preserve"> </w:t>
      </w:r>
    </w:p>
    <w:p>
      <w:pPr>
        <w:pStyle w:val="Heading2"/>
      </w:pPr>
      <w:r>
        <w:t>Risk Factors And Limitations</w:t>
      </w:r>
    </w:p>
    <w:p>
      <w:r>
        <w:t>1) Forced-alignment quality: Malayalam forced-aligner models may be inaccurate; poor alignments will corrupt phone-duration features. 2) Synthetic-data risks: latent-space SMOTE may still create unrealistic embeddings that harm classifiers if acceptance thresholds are not met. 3) Annotation bias: cultural nuance and subjective labels (implicit vs offensive) can cause low inter-annotator agreement and noisy labels. 4) Accent coverage: target accents may not cover all real-world dialects; models may not generalize to unseen accents. 5) Noise and channel mismatch: real deployment conditions may include unseen noise/reverb/codecs beyond test budgets. 6) Compute limits: full HPO and cross-dataset experiments require 200–400 GPU-hours and 200–400 GB storage, which may not be available. 7) Privacy and legal limits: consent restrictions may prevent sharing raw audio; releasing embeddings may still risk leakage. 8) Evaluation limits: macro-F1 and other aggregated metrics may mask case-level harms (false positives affecting protected groups). 9) Scalability: latent-space SMOTE and human plausibility checks add manual steps that scale poorly. 10) Non-audio cues: semantic context and speaker intent may be unresolvable from audio alone, limiting maximum achievable performance.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