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it2_precautionary_pa_tw</w:t>
      </w:r>
    </w:p>
    <w:p>
      <w:r>
        <w:t xml:space="preserve"> </w:t>
      </w:r>
    </w:p>
    <w:p>
      <w:pPr>
        <w:pStyle w:val="Heading2"/>
      </w:pPr>
      <w:r>
        <w:t>Title</w:t>
      </w:r>
    </w:p>
    <w:p>
      <w:r>
        <w:t>Applying interval type-2 fuzzy distinction to design precautionary areas for offshore wind farms along western Taiwan using AIS, MGIS, and environmental ensembles</w:t>
      </w:r>
    </w:p>
    <w:p>
      <w:r>
        <w:t xml:space="preserve"> </w:t>
      </w:r>
    </w:p>
    <w:p>
      <w:pPr>
        <w:pStyle w:val="Heading2"/>
      </w:pPr>
      <w:r>
        <w:t>Short Hypothesis</w:t>
      </w:r>
    </w:p>
    <w:p>
      <w:r>
        <w:t>Integrating AIS-derived traffic uncertainty, ecological sensitivity, and wind/hydrodynamic ensemble variability using interval type-2 fuzzy inference produces precautionary area maps with higher predictive accuracy (AUC) and spatial agreement (IoU) with historic incidents than (a) deterministic buffer or (b) type-1 fuzzy approaches.</w:t>
      </w:r>
    </w:p>
    <w:p>
      <w:r>
        <w:t xml:space="preserve"> </w:t>
      </w:r>
    </w:p>
    <w:p>
      <w:pPr>
        <w:pStyle w:val="Heading2"/>
      </w:pPr>
      <w:r>
        <w:t>Related Work</w:t>
      </w:r>
    </w:p>
    <w:p>
      <w:r>
        <w:t>Existing methods for offshore precautionary area (PA) design typically use deterministic buffers around shipping lanes, kernel density estimates (KDE) of AIS traffic, or type-1 fuzzy logic to combine navigation and environmental factors. Hydrodynamic and wind models are often used separately to assess engineering suitability but rarely fused with navigational uncertainty. Limitations include: (1) deterministic buffers ignore message noise and missing AIS reports leading to over- or under‑protected areas; (2) standard KDEs treat positions as exact and understate positional uncertainty; (3) type-1 fuzzy systems collapse uncertain inputs into single membership values, losing interval uncertainty and producing brittle decisions; (4) ecological data are often treated as static masks without quantified survey uncertainty; (5) surrogate emulators are used without clear diagnostics, risking extrapolation errors. These gaps leave PA outputs with unclear confidence, poor calibration against incident logs, and limited operational acceptability.</w:t>
      </w:r>
    </w:p>
    <w:p>
      <w:r>
        <w:t xml:space="preserve"> </w:t>
      </w:r>
    </w:p>
    <w:p>
      <w:pPr>
        <w:pStyle w:val="Heading2"/>
      </w:pPr>
      <w:r>
        <w:t>Abstract</w:t>
      </w:r>
    </w:p>
    <w:p>
      <w:r>
        <w:t>We propose a reproducible workflow that applies interval type-2 (IT2) fuzzy distinction to produce precautionary area (PA) maps for offshore wind farm planning on western Taiwan. The method fuses AIS ship-navigation data with marine GIS layers, seasonally resolved ecological sensitivity, and wind/hydrodynamic ensemble outputs. AIS positional uncertainty is quantified per point and propagated into traffic density via kernel bandwidth inflation and Monte Carlo sampling. Environmental and ecological inputs are turned into interval membership rasters. IT2 fuzzy inference is implemented by z-slices decomposition to propagate input intervals through Mamdani rules and produce nominal, lower and upper PA rasters. The main contribution is a transparent, uncertainty-aware PA planner that yields calibrated probabilistic PA tiers (robust, conditional, advisory) and measurable validation against VTS/incident logs. Expected outcomes are PA maps with better predictive performance and explicit confidence bands that support stakeholder decision-making and regulatory review.</w:t>
      </w:r>
    </w:p>
    <w:p>
      <w:r>
        <w:t xml:space="preserve"> </w:t>
      </w:r>
    </w:p>
    <w:p>
      <w:pPr>
        <w:pStyle w:val="Heading2"/>
      </w:pPr>
      <w:r>
        <w:t>Methodology</w:t>
      </w:r>
    </w:p>
    <w:p>
      <w:r>
        <w:t>1. Data ingestion and projection: load AIS messages (one-month sample) in WGS84 and reproject to a suitable projected CRS (e.g., TWD97/TM2). Load MGIS layers: bathymetry, ports, protected areas, and ecological survey rasters. Load hydrodynamic/wind ensemble outputs (multiple members). 2. AIS error budget and per-point variance: for each AIS message compute σ_report (GNSS noise), σ_receiver (terrestrial/satellite), σ_time (timestamp jitter). For each interpolated point compute Var_pos = σ_report^2 + σ_receiver^2 + (β * v * Δt)^2 + σ_map^2, where v is speed over ground (SOG), Δt is interpolation gap, β is maneuverability factor (e.g., 0.5), and σ_map is map-constraining residual. 3. Traffic density ensembles: inflate KDE kernel bandwidth by Var_pos: h_eff^2 = h_nom^2 + Var_pos. Generate N Monte Carlo realizations (sample N positions from N(pos,Var_pos) per track) and rasterize to grid cells (50–100 m nearshore, 100–250 m offshore). Compute per-cell mean and CI. 4. Environmental and ecological intervals: convert hydrodynamic and ecological rasters into normalized [0,1] layers. For each cell produce nominal ± k·sigma intervals (k=1 default) to create lower/upper membership bounds. 5. Interval type-2 fuzzy inputs: define input variables (TrafficDensity, NavigationalRisk, EcologicalSensitivity, EnvironmentalSuitability) and trapezoidal membership functions. Represent each input as interval MF with lower μL(x) and upper μU(x). 6. Z-slices IT2 propagation: choose m = 5 z-levels. For each z_k compute type-1 slice MF μ_k(x)=z_k·μU+(1−z_k)·μL. For every cell evaluate all antecedent MFs, compute rule firing α_k,r = min antecedents, aggregate consequents by max, and defuzzify per slice using centroid on discrete raster outputs. Recombine slice centroids weighted by z-levels to yield nominal value and extract lower/upper bounds across slices. 7. PA tiers and outputs: classify cells by lower_bound threshold (robust LB ≥0.60; conditional 0.30–0.60; advisory LB &lt;0.30). Export GeoTIFF bands: lower, nominal, upper. Export lane vectors with ensemble-derived confidence and encounter/CPA statistics with CIs. 8. Validation artifacts: produce ROC curves, IoU at chosen thresholds, confusion matrices vs incident/VTS logs, CI coverage tests. 9. Software: implement pipeline in containerized Python stack (GDAL, Rasterio, PostGIS, NumPy, SciPy), parallelize Monte Carlo and per-slice inference using Dask. Document manifests and data provenance.</w:t>
      </w:r>
    </w:p>
    <w:p>
      <w:r>
        <w:t xml:space="preserve"> </w:t>
      </w:r>
    </w:p>
    <w:p>
      <w:pPr>
        <w:pStyle w:val="Heading2"/>
      </w:pPr>
      <w:r>
        <w:t>Experiments</w:t>
      </w:r>
    </w:p>
    <w:p>
      <w:r>
        <w:t>Datasets: - AIS: one-month AIS sample covering Changhua–Taichung corridor (10–100M messages). - VTS logs and incident reports for the same period and prior years for validation. - Port-call records and coastal radar/VMS for bias checks. - Ecological surveys: seabird telemetry, marine mammal sightings, benthic habitat rasters with survey metadata. - Hydrodynamic/wind ensembles: O(8–12) perturbed members (WRF/SWAN/FVCOM or equivalent). Baselines: (A) Deterministic buffer around lanes (fixed distance), (B) KDE traffic density without uncertainty, (C) Type-1 fuzzy integration using nominal inputs only. Metrics: AUC of incident prediction, IoU between predicted PA and incident-based PA masks, precision/recall per PA tier, confusion matrices, CRPS for probabilistic outputs, CI coverage at 68%/95%, spatial false positive area, runtime and memory. Experimental setup: - Grid: 100 m uniform grid for main experiments. - Ensemble: N = 100 Monte Carlo AIS×env realizations. - IT2 settings: z-slices m ∈ {3,5,7} (ablation), defuzzification centroid. - Cross-validation: temporal k-fold (k=5) with holdout months. Studies: 1) Main comparison: evaluate proposed IT2 method vs baselines A–C using AUC, IoU, precision/recall. 2) Ablation 1 (fuzziness): replace IT2 with type-1 to measure change in calibration and IoU. 3) Ablation 2 (z-slices): vary m and report AUC, IoU, and CI width. 4) Ablation 3 (ensemble size): N ∈ {50,100,200} to measure CI stability. 5) Non-reporting stress test: inject non-reporting fractions by vessel class f ∈ {0%,10%,20%,50%} and measure PA changes (IoU vs baseline). 6) Surrogate diagnostic: train Gaussian Process / GBM / U-Net emulators on 80% of ensemble outputs and measure RMSE, R2, CRPS on 20% holdout and record deviation thresholds; if RMSE &gt; 0.2·ensemble_std or CI coverage fails, flag for full-model fallback. 7) Latency test: measure wall-clock time from AIS ingestion to PA raster for the full pipeline on target cluster (8 workers) and record median human-notification latency. All experiments must save seeds, manifests, and exact parameter settings for reproducibility.</w:t>
      </w:r>
    </w:p>
    <w:p>
      <w:r>
        <w:t xml:space="preserve"> </w:t>
      </w:r>
    </w:p>
    <w:p>
      <w:pPr>
        <w:pStyle w:val="Heading2"/>
      </w:pPr>
      <w:r>
        <w:t>Risk Factors And Limitations</w:t>
      </w:r>
    </w:p>
    <w:p>
      <w:r>
        <w:t>1. Data quality: AIS gaps, spoofing, and small-craft non-reporting can bias density estimates and are hard to measure exactly. 2. Ecological data gaps: sparse or outdated surveys reduce reliability of EcologicalSensitivity; survey effort bias may skew results. 3. Emulator risk: surrogate models can fail under extrapolation; diagnostics may not catch all failures. 4. Computational cost: Monte Carlo ensembles and hydrodynamic members require significant CPU and storage; real-time or rapid re-run constraints exist. 5. Method sensitivity: PA outputs may be sensitive to MF endpoints, z-slice count, rule weights and chosen thresholds; results may vary with practitioner choices. 6. Extreme events: typhoons and storm-driven traffic patterns may not be well captured by one-month samples or static ensembles. 7. Operational acceptance: regulatory and human factors (VTS response, false alarm tolerance) can limit practical use. 8. Generalization: model calibrated for western Taiwan may not transfer to other regions without retraining and new error budgets. 9. Legal constraints: implementing temporary exclusion or routing changes requires regulatory procedures outside technical control. 10. Reproducibility demands: complete provenance, CI pipelines and versioned data are required for audits and increase engineering overhead.</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