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dance_therapy_bibmap_2000_2024</w:t>
      </w:r>
    </w:p>
    <w:p>
      <w:r>
        <w:t xml:space="preserve"> </w:t>
      </w:r>
    </w:p>
    <w:p>
      <w:pPr>
        <w:pStyle w:val="Heading2"/>
      </w:pPr>
      <w:r>
        <w:t>Title</w:t>
      </w:r>
    </w:p>
    <w:p>
      <w:r>
        <w:t>Longitudinal bibliometric mapping using network analysis and topic modeling to characterize research on dance therapy in rehabilitation (2000–2024)</w:t>
      </w:r>
    </w:p>
    <w:p>
      <w:r>
        <w:t xml:space="preserve"> </w:t>
      </w:r>
    </w:p>
    <w:p>
      <w:pPr>
        <w:pStyle w:val="Heading2"/>
      </w:pPr>
      <w:r>
        <w:t>Short Hypothesis</w:t>
      </w:r>
    </w:p>
    <w:p>
      <w:r>
        <w:t>A reproducible bibliometric pipeline applied to indexed literature from 2000–2024 will detect at least three stable thematic clusters and at least two institutional collaboration hubs, and at least one therapeutic-outcome topic will show a statistically significant increase in prevalence over time (p &lt; 0.05).</w:t>
      </w:r>
    </w:p>
    <w:p>
      <w:r>
        <w:t xml:space="preserve"> </w:t>
      </w:r>
    </w:p>
    <w:p>
      <w:pPr>
        <w:pStyle w:val="Heading2"/>
      </w:pPr>
      <w:r>
        <w:t>Related Work</w:t>
      </w:r>
    </w:p>
    <w:p>
      <w:r>
        <w:t>Existing studies have applied bibliometric and visualization tools (VOSviewer, CiteSpace, bibliometrix) and basic topic models to subsets of dance therapy or rehabilitation literature. Prior work is limited by single-database harvesting, minimal multilingual handling, ad hoc disambiguation of authors/affiliations, lack of containerized reproducibility, sparse sensitivity analyses on network thresholds, and limited integration of study-quality markers (RoB). Topic-modeling efforts often report K without systematic model-selection or stability checks. Co-authorship and co-word maps exist but typically omit explicit temporal slicing or formal cluster-stability metrics. These gaps lead to possible coverage bias, misattribution of authors/institutions, unstable thematic labels, and limited longitudinal inference.</w:t>
      </w:r>
    </w:p>
    <w:p>
      <w:r>
        <w:t xml:space="preserve"> </w:t>
      </w:r>
    </w:p>
    <w:p>
      <w:pPr>
        <w:pStyle w:val="Heading2"/>
      </w:pPr>
      <w:r>
        <w:t>Abstract</w:t>
      </w:r>
    </w:p>
    <w:p>
      <w:r>
        <w:t>This project provides the first reproducible, longitudinal bibliometric mapping of research on dance therapy in rehabilitation from 2000 to 2024. We apply a standardized pipeline that harvests Web of Science records (with parallel Scopus and PubMed sampling), normalizes metadata, disambiguates authors and institutions, and builds co-authorship, co-word, and co-citation networks using VOSviewer, bibliometrix, and CiteSpace. We combine these networks with topic models (LDA, Dynamic Topic Model, STM) to track thematic evolution and identify emerging trends. Contributions include (1) transparent search strings and multilingual translation workflows, (2) sensitivity analyses across threshold settings, (3) integration of study-design and risk-of-bias coding, and (4) a containerized reproducible environment with fixed seeds and parameter files. Expected outcomes are validated thematic clusters, mapped collaboration hubs, trend detection of therapeutic-outcome topics, and publicly shareable artifacts (metadata, scripts, visualizations) that guide research priorities and collaboration strategies in dance therapy rehabilitation.</w:t>
      </w:r>
    </w:p>
    <w:p>
      <w:r>
        <w:t xml:space="preserve"> </w:t>
      </w:r>
    </w:p>
    <w:p>
      <w:pPr>
        <w:pStyle w:val="Heading2"/>
      </w:pPr>
      <w:r>
        <w:t>Methodology</w:t>
      </w:r>
    </w:p>
    <w:p>
      <w:r>
        <w:t>1) Data acquisition: run exact queries in Web of Science (primary), and parallel sample queries in Scopus and PubMed. Export bibliographic fields: id, title, abstract, authors, affiliations, year, DOI, keywords, references, citations, funding, language. 2) Translation: machine-translate non-English title/abstract/keywords (DeepL/Google API), retain originals, flag low-confidence items for bilingual review. 3) Deduplication and normalization: deduplicate by DOI/hashed DOI, normalize author names and affiliations using ORCID and ROR/GRID where available. For name disambiguation combine rule-based matching (ORCID/affiliation) with algorithmic similarity (string distance on normalized name + affiliation). Record provenance of merges. 4) Controlled vocabulary: map synonyms (e.g., dance therapy, DMT) to canonical terms and map clinical outcomes to MeSH-like labels. 5) Network construction: build co-authorship, institutional collaboration, co-word, and co-citation networks. Apply three pre-specified threshold sets (low/medium/high) for node inclusion. 6) Topic modeling: fit LDA over K=6–20, select candidates by coherence (c_v, UMass) and inspect; run Dynamic Topic Model (DTM) with yearly slices and Structural Topic Model (STM) with year/country covariates. (LDA: latent Dirichlet allocation, a model that finds topics as word groups; DTM: tracks topics over time; STM: allows covariates to affect topic prevalence.) 7) Validation: compute cluster stability (adjusted Rand Index) across thresholds, compute topic coherence and stability, and have two domain experts label topics; report Cohen’s kappa for label agreement. 8) Quality coding: extract study-design fields and apply RoB 2 / ROBINS-I / CASP as appropriate; store in metadata. 9) Reproducibility: capture all parameters and seeds (seed=12345), provide Dockerfile with exact software versions and parameter YAML files, and push scripts and allowed metadata to repository with Zenodo snapshot.</w:t>
      </w:r>
    </w:p>
    <w:p>
      <w:r>
        <w:t xml:space="preserve"> </w:t>
      </w:r>
    </w:p>
    <w:p>
      <w:pPr>
        <w:pStyle w:val="Heading2"/>
      </w:pPr>
      <w:r>
        <w:t>Experiments</w:t>
      </w:r>
    </w:p>
    <w:p>
      <w:r>
        <w:t>Datasets: (A) Full Web of Science Core Collection export matching the finalized queries (2000–2024). (B) Parallel sample exports from Scopus and PubMed for coverage comparison. (C) Small synthetic dataset for reproducibility demos. Baselines: (1) single-database pipeline (WoS only) without disambiguation; (2) pipeline without non-English translations; (3) pipeline without quality (RoB) integration. Evaluation metrics: network metrics (number of clusters, modularity), centrality measures (degree, betweenness), cluster stability (adjusted Rand Index between threshold settings), topic metrics (coherence c_v and UMass, perplexity), temporal trend tests (Mann–Kendall for monotonic trends; segmented regression for breakpoints), inter-rater reliability (Cohen’s kappa for screening and topic labels), coverage deltas (counts by year/language/document type between WoS/Scopus/PubMed). Experimental setup: fix random seed 12345 for all stochastic algorithms; run network builds under three threshold sets (low: authors≥1, keywords≥3, refs≥5; medium: authors≥2, keywords≥4, refs≥10; high: authors≥3, keywords≥6, refs≥15). For topic models, run LDA for K=6..20, record coherence and choose 2 candidate Ks for DTM/STM. Ablation study 1: compare full pipeline vs baseline (no disambiguation) and report changes in top-10 authors, institutional hubs, and adjusted Rand Index. Ablation study 2: compare full corpus vs corpus with non-English records removed; report changes in topic prevalence and coverage deltas. Statistical tests: report p-values (two-sided) and apply FDR correction when multiple tests run. Repeatability: all experiments rerun 5 times where stochasticity remains; report mean and sd.</w:t>
      </w:r>
    </w:p>
    <w:p>
      <w:r>
        <w:t xml:space="preserve"> </w:t>
      </w:r>
    </w:p>
    <w:p>
      <w:pPr>
        <w:pStyle w:val="Heading2"/>
      </w:pPr>
      <w:r>
        <w:t>Risk Factors And Limitations</w:t>
      </w:r>
    </w:p>
    <w:p>
      <w:r>
        <w:t>1) Small corpus size: if records &lt;200 networks and topic models may be unstable; some analyses may be unreliable. 2) Database access and licensing: WoS/Scopus export limits or publisher restrictions may prevent sharing raw exports; public deposits may be limited to hashed IDs and metadata only. 3) Translation errors: machine translation can introduce semantic noise, affecting topic labels. 4) Name disambiguation errors: algorithmic merging may misattribute publications for homonymous authors, biasing collaboration maps. 5) Ambiguous terms: acronyms like DMT (also 'disease-modifying therapy') may produce false positives despite filters. 6) Topic model instability: LDA/DTM/STM results depend on K and preprocessing; different Ks can yield non-overlapping topics. 7) Citation-normalization limits: field assignments for journals and multi-category journals complicate CNCI/RCR mapping and may bias normalized metrics. 8) Compute requirements: DTM and large network permutations may need substantial RAM/CPU; limited compute may truncate sensitivity tests. 9) Generalization: bibliometric results reflect indexed literature and may under-represent gray literature, non-indexed regional work, and unpublished trials.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