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aesthetic_comparativeness_islam_observed</w:t>
      </w:r>
    </w:p>
    <w:p>
      <w:r>
        <w:t xml:space="preserve"> </w:t>
      </w:r>
    </w:p>
    <w:p>
      <w:pPr>
        <w:pStyle w:val="Heading2"/>
      </w:pPr>
      <w:r>
        <w:t>Title</w:t>
      </w:r>
    </w:p>
    <w:p>
      <w:r>
        <w:t>A multimodal comparative method for measuring aesthetic codes and the literary aura in Moroccan and Indonesian Islamic practices</w:t>
      </w:r>
    </w:p>
    <w:p>
      <w:r>
        <w:t xml:space="preserve"> </w:t>
      </w:r>
    </w:p>
    <w:p>
      <w:pPr>
        <w:pStyle w:val="Heading2"/>
      </w:pPr>
      <w:r>
        <w:t>Short Hypothesis</w:t>
      </w:r>
    </w:p>
    <w:p>
      <w:r>
        <w:t>Applying a standardized multimodal coding and computational annotation protocol causes reproducible quantitative measures of "literary aura" that significantly correlate with participants' emic valuations and with independent archival provenance across Morocco and Indonesia.</w:t>
      </w:r>
    </w:p>
    <w:p>
      <w:r>
        <w:t xml:space="preserve"> </w:t>
      </w:r>
    </w:p>
    <w:p>
      <w:pPr>
        <w:pStyle w:val="Heading2"/>
      </w:pPr>
      <w:r>
        <w:t>Related Work</w:t>
      </w:r>
    </w:p>
    <w:p>
      <w:r>
        <w:t>Prior work combines anthropology, ethnography, sociology, literary analysis, and digital humanities to study Islamic aesthetics regionally. Existing approaches provide rich qualitative descriptions and case studies of ritual, textual, and material culture but lack standardized, cross-site metrics for aesthetic features. Computational studies have used topic models and image classifiers on larger corpora, yet they rarely integrate multimodal field data or emic validation. Comparative literature theory has proposed interpretive frameworks for "aura" but without operational indicators. Key limitations are: inconsistent coding schemas across sites, small and non-interoperable datasets, weak intercoder reliability procedures, insufficient translation/normalization protocols, Eurocentric taxonomies that overlook emic categories, and over-reliance on supervised models without human-in-the-loop validation.</w:t>
      </w:r>
    </w:p>
    <w:p>
      <w:r>
        <w:t xml:space="preserve"> </w:t>
      </w:r>
    </w:p>
    <w:p>
      <w:pPr>
        <w:pStyle w:val="Heading2"/>
      </w:pPr>
      <w:r>
        <w:t>Abstract</w:t>
      </w:r>
    </w:p>
    <w:p>
      <w:r>
        <w:t>This project develops and tests a multimodal comparative method to operationalize the concept of "literary aura" in Islamic aesthetic practice across Morocco and Indonesia. The problem is that descriptions of aesthetic authority and comparativeness are rich but not measured in a way that supports cross-regional comparison or reproducible claims. We propose a seven-domain coding schema (sonic, textual, visual, gestural, material, spatial, temporal), paired multilingual metadata, ethical tiered-access governance, and a computational pipeline combining rule-based extraction, unsupervised thematic discovery, and supervised motif classifiers. Main contributions are: (1) an operational definition and set of measurable indicators for literary aura; (2) a pilot multimodal corpus and interoperable metadata schema; (3) validated human-in-the-loop computational methods that link quantitative indicators to emic valuations and archival provenance. Expected outcomes include reproducible measures of comparativeness, tools for digital annotation, and empirically grounded claims about where aesthetic correspondences reflect shared genealogies versus local idioms.</w:t>
      </w:r>
    </w:p>
    <w:p>
      <w:r>
        <w:t xml:space="preserve"> </w:t>
      </w:r>
    </w:p>
    <w:p>
      <w:pPr>
        <w:pStyle w:val="Heading2"/>
      </w:pPr>
      <w:r>
        <w:t>Methodology</w:t>
      </w:r>
    </w:p>
    <w:p>
      <w:r>
        <w:t>1) Sampling and corpus: collect a pilot multimodal corpus per country: 10–15 ritual events (audio/video), 20–30 textual/artifact items (manuscripts, textiles, inscriptions), 30–40 semi-structured interviews. 2) Codebook and seven-domain schema: build a codebook with domains: sonic (sound features), textual (lexical tokens), visual (motifs/images), gestural (movement), material (objects), spatial (site layout), temporal (timing/sequence). For each domain record presence (0/1), prominence (1–5), vernacular terms, and participant valuation. 3) Intercoder training: recruit local coders, run workshops, pilot-code ~25 multimodal units, compute Cohen's kappa target ≥0.70. 4) Metadata and repository: design multilingual metadata with provenance, permissions, and tiered access flags; ingest data to mirrored in-country + secure cloud repository. 5) Computational pipeline: (a) rule-based extraction for clear lexical and sensory tokens; (b) unsupervised topic models (e.g., LDA or clustering on embeddings) to find thematic clusters; (c) supervised classifiers for motifs and rhetorical devices using annotated seeds; (d) convolutional models for visual motif detection on images/video frames; (e) network visualizations linking motifs, actors, and archives. Explainers: topic model = algorithm that groups words into themes; embeddings = number lists that represent word meaning. 6) Human-in-the-loop validation: periodic parity audits comparing algorithm outputs to expert codes, and record disagreements in adjudication logs. 7) Construct validation: triangulate quantitative indicators (lexical density, rhetorical device rates, sensory counts) with interview-based emic valuations and archival corroboration; set pre-defined thresholds for cross-site correspondence.</w:t>
      </w:r>
    </w:p>
    <w:p>
      <w:r>
        <w:t xml:space="preserve"> </w:t>
      </w:r>
    </w:p>
    <w:p>
      <w:pPr>
        <w:pStyle w:val="Heading2"/>
      </w:pPr>
      <w:r>
        <w:t>Experiments</w:t>
      </w:r>
    </w:p>
    <w:p>
      <w:r>
        <w:t>Dataset: pilot corpus per country: Morocco (12 events, 25 texts/artifacts, 35 interviews, 60 audiovisual units), Indonesia (12 events, 25 texts/artifacts, 40 interviews, 70 audiovisual units). Annotated seed: 15%, 30%, 50% variants for ablation. Baselines: (A) manual human coding (gold standard); (B) rule-based motif detection (regex and lexical lists); (C) unsupervised-only pipeline (topic models + clustering). Models: supervised classifiers (e.g., logistic regression or transformer-based classifiers for text; CNNs like ResNet fine-tuned for images), and hybrid pipelines combining rule-based prefilters with supervised models. Evaluation metrics: intercoder reliability: Cohen's kappa; motif detection/classifier: precision, recall, F1; image motif detection: mAP (mean average precision); correspondence with emic valuations: Spearman rho (rank correlation) and significance p-values; archival corroboration rate: proportion of motif claims supported by at least one independent archival source. Experimental setup: split annotated data into train/validation/test = 70/15/15; use 5-fold cross-validation where dataset size permits; report mean and std. Ablation studies: (1) seed-size ablation: compare performance and F1 when annotated seed is 15% vs 30% vs 50%; (2) method ablation: compare supervised pipeline vs rule-based vs unsupervised-only; (3) normalization ablation: compare models trained on raw language tokens vs models trained on normalized units with back-translation. Statistical tests: paired bootstrap resampling for F1 differences and Fisher transformation for correlation differences. Success criteria: classifier F1 ≥0.75 on motif classes with 30% seed or higher; Spearman rho ≥0.5 between quantitative indicator composite and emic valuation with p&lt;0.05.</w:t>
      </w:r>
    </w:p>
    <w:p>
      <w:r>
        <w:t xml:space="preserve"> </w:t>
      </w:r>
    </w:p>
    <w:p>
      <w:pPr>
        <w:pStyle w:val="Heading2"/>
      </w:pPr>
      <w:r>
        <w:t>Risk Factors And Limitations</w:t>
      </w:r>
    </w:p>
    <w:p>
      <w:r>
        <w:t>1) Small corpus risk: limited data may prevent supervised models from reaching targets; models may overfit and not generalize. 2) Translation and normalization: back-translation and normalization may lose local nuance; semantic slippage can bias metrics. 3) Intercoder inconsistency: cultural-linguistic ambiguity may keep Cohen's kappa below target in some domains. 4) Legal/ethical constraints: IRB delays, local data protection and IP laws, or community refusals may reduce available data or access tiers. 5) Eurocentric taxonomy risk: imposed categories may not map to emic categories, limiting validity. 6) Computational limits: image/video models require GPU resources and may be slow on large audiovisual sets. 7) Evaluation bias: correlations between indicators and emic valuations reflect sampling and may not imply causal cultural similarity. 8) Limited generalization: results may not transfer beyond Morocco and Indonesia or to other Muslim cultural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