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thermalscapes_informal_shading_cuiaba</w:t>
      </w:r>
    </w:p>
    <w:p>
      <w:r>
        <w:t xml:space="preserve"> </w:t>
      </w:r>
    </w:p>
    <w:p>
      <w:pPr>
        <w:pStyle w:val="Heading2"/>
      </w:pPr>
      <w:r>
        <w:t>Title</w:t>
      </w:r>
    </w:p>
    <w:p>
      <w:r>
        <w:t>Ethnographic and participatory-biosensing study of how informal shading practices affect thermal comfort and consumption atmospheres in Cuiabá city centre</w:t>
      </w:r>
    </w:p>
    <w:p>
      <w:r>
        <w:t xml:space="preserve"> </w:t>
      </w:r>
    </w:p>
    <w:p>
      <w:pPr>
        <w:pStyle w:val="Heading2"/>
      </w:pPr>
      <w:r>
        <w:t>Short Hypothesis</w:t>
      </w:r>
    </w:p>
    <w:p>
      <w:r>
        <w:t>Informal shading (awnings, umbrellas, fabric drapes, vegetation) lowers mean radiant temperature at street level, which reduces physiological thermal strain and increases reported thermal comfort and linger time for vendors and consumers compared to comparable unshaded conditions.</w:t>
      </w:r>
    </w:p>
    <w:p>
      <w:r>
        <w:t xml:space="preserve"> </w:t>
      </w:r>
    </w:p>
    <w:p>
      <w:pPr>
        <w:pStyle w:val="Heading2"/>
      </w:pPr>
      <w:r>
        <w:t>Related Work</w:t>
      </w:r>
    </w:p>
    <w:p>
      <w:r>
        <w:t>Prior research on urban thermalscapes has used micrometeorological measurements (air temperature, radiation, mean radiant temperature) and models (PET, UTCI) to link shading and urban form to thermal comfort. Separate streams use wearable biosensing (heart rate, skin temperature, electrodermal activity) to measure embodied heat strain, and ethnography to capture social meaning and behavior in urban spaces. Limitations: these strands are often siloed—micrometeorology studies lack in-situ embodied measures and qualitative context; wearable studies rarely co-locate high-quality radiant heat measures (black-globe/MRT) or detailed shade typologies; ethnographies typically lack synchronized physiological traces for triangulation. Existing work also underreports calibration uncertainty, small-sample wearable variance estimates, privacy-aware GPS handling for dense urban cores, and robust composite physiological indices that map to thermal votes. Informal shading variability (materials, temporal deployment, vendor practices) is under-characterized, producing gaps when recommending context-sensitive interventions.</w:t>
      </w:r>
    </w:p>
    <w:p>
      <w:r>
        <w:t xml:space="preserve"> </w:t>
      </w:r>
    </w:p>
    <w:p>
      <w:pPr>
        <w:pStyle w:val="Heading2"/>
      </w:pPr>
      <w:r>
        <w:t>Abstract</w:t>
      </w:r>
    </w:p>
    <w:p>
      <w:r>
        <w:t>Hot tropical city centres combine intense solar radiation with dense pedestrian commerce; informal shading (awnings, umbrellas, fabric, vegetation) is widely used but poorly characterized in terms of embodied thermal effects and consumer experience. This study combines street-level micrometeorology, ethnographic observation, and participatory biosensing to test whether informal shade measurably reduces radiant heat and physiological thermal strain, and how shading shapes sensory atmospheres that affect linger time and consumption behavior. We will pilot 15–20 participants across 30 paired shaded/unshaded micro-sites, collect synchronized timestamps for black-globe MRT, ambient loggers, wearable HR/IBI, skin temperature, EDA, accelerometry, GPS, and thermal sensation votes, and fuse these with detailed spatial shading typologies from UAV/LiDAR and on-the-ground mapping. The main contribution is a reproducible, privacy-aware pipeline that links shade materiality to microclimate, embodied strain (composite thermal-strain index), and ethnographic vignettes. Expected outcomes include quantified shade-effect size estimates, validated composite indices that predict comfort votes, and actionable spatial maps for culturally grounded shading interventions.</w:t>
      </w:r>
    </w:p>
    <w:p>
      <w:r>
        <w:t xml:space="preserve"> </w:t>
      </w:r>
    </w:p>
    <w:p>
      <w:pPr>
        <w:pStyle w:val="Heading2"/>
      </w:pPr>
      <w:r>
        <w:t>Methodology</w:t>
      </w:r>
    </w:p>
    <w:p>
      <w:r>
        <w:t>1) Site and sampling: select 30 paired micro-sites across shading typologies (awnings, umbrellas, fabric drapes, vegetation), retail formats (formal shop, market stall, street vendor), socio-economic zones, and time windows (morning, solar noon ±1 h, late afternoon). Recruit pilot 15–20 participants (vendors and consumers) for repeated shaded/unshaded sessions; main study ≈40 participants with 3–4 repeats each. 2) Instruments and sampling rates: black-globe thermometers (150 mm) for MRT at 1.5 m (standing) and 0.9–1.0 m (seated); pyranometer/pyrgeometer pairs at reference sites. Wearables: Polar H10 chest strap for HR/IBI (≥50 Hz), Empatica E4 or Shimmer for EDA (10–20 Hz), skin temperature (Tskin) 1 Hz, accelerometer ≥25 Hz; ambient logger (BME280 or Onset HOBO) chest-mounted at 1 Hz; smartphone GPS 0.2–1 Hz and ODK-based thermal-vote prompts. 3) Calibration and co-location: lab zero/span checks; 24–48 h field co-location of ambient loggers and wearables with reference weather station and black-globe to derive offsets and drift; per-session 30–60 min co-location when feasible. 4) Confounder logging: clothing photos + short checklist to compute clo using ISO 9920 lookup (clo is clothing insulation, a number where higher means more insulation); accelerometry-to-MET models to estimate metabolic rate (MET = metabolic equivalent of task, simple numeric estimate); intake survey for hydration, caffeine, medication; optional pre/post body mass or urine-color chart. 5) Data synchronization and preprocessing: NTP/UTC timestamp sync; ingest raw traces, align to 1 Hz baseline while preserving high-frequency data; artifact handling: non-wear detection via accel + flat HR, IBI cleaning with beat-to-beat jump rules, EDA decomposition (cvxEDA or similar), smoothing Tskin (moving average 30–60 s). 6) Derived variables: compute MRT from black-globe with wind correction per ISO/ASHRAE; compute PET and UTCI from air temp, RH, wind, and MRT; compute Δ (pre/post shade transition) windows (5–15 min); construct composite thermal-strain index by within-subject z-scoring of ΔHR, ΔTskin, phasic EDA then combining via equal weights and PCA-derived weights. 7) Integration with ethnography and GIS: link vignette timestamps and GPS tracks to microclimate rasters and digitized informal-shade features; record material, placement and temporal deployment notes for each shade element. 8) Privacy and governance: pseudonymize IDs, AES-256 encryption, raw GPS stored separately, internal high-precision data for analysis; public derivatives geo-masked (50–100 m) and time-fuzzed (±5–15 min).</w:t>
      </w:r>
    </w:p>
    <w:p>
      <w:r>
        <w:t xml:space="preserve"> </w:t>
      </w:r>
    </w:p>
    <w:p>
      <w:pPr>
        <w:pStyle w:val="Heading2"/>
      </w:pPr>
      <w:r>
        <w:t>Experiments</w:t>
      </w:r>
    </w:p>
    <w:p>
      <w:r>
        <w:t>Dataset: pilot dataset with 15–20 participants and 30 paired shaded/unshaded micro-sites; main dataset target ~40 participants × 3–4 repeats (~160–200 person-sessions). Baselines: matched unshaded condition at same site and time window; fixed-site micromet-only baseline (black-globe + ambient) without wearables. Metrics: ΔMRT (°C), ΔPET/UTCI (°C), composite thermal-strain index (unitless z-score), RMSSD (ms) for HRV, mean Tskin change (°C), phasic EDA amplitude (μS), thermal sensation vote (TSV) on 7-point scale, linger time (seconds), transaction count (if available). Statistical model: pre-registered mixed-effects models: Outcome_it = β0 + β1·Shading_it + β2·ΔMRT_it + β3·clo_it + β4·MET_it + β5·hydration_it + β6·time_of_day + (1 + Shading | Participant) + (1 | Site). Primary outcomes: composite index and TSV. Secondary outcomes: RMSSD, Tskin, linger time. Hypothesis test: H0: β1 = 0; α = 0.05 with Bonferroni or false-discovery rate correction for multiple primary tests. Ablation studies: (A) composite index versions (equal-weight vs PCA weights) compared by AIC, correlation with TSV, and cross-validated RMSE; (B) with and without wearable-to-station co-location correction to test effect of calibration on outcomes. Evaluation: report effect sizes (β1), 95% CIs, ICCs, within-subject SDs, power curves under assumed effect sizes (e.g., ΔPET 1.5°C, SD within = 2.0°C) and ICC scenarios (0.05, 0.1, 0.2). Quality-control exclusions: sessions with &gt;20% physiological missing data excluded from primary analyses. Reproducibility: provide containerized analysis pipeline, synthetic masked example dataset, and pre-registered model formulae.</w:t>
      </w:r>
    </w:p>
    <w:p>
      <w:r>
        <w:t xml:space="preserve"> </w:t>
      </w:r>
    </w:p>
    <w:p>
      <w:pPr>
        <w:pStyle w:val="Heading2"/>
      </w:pPr>
      <w:r>
        <w:t>Risk Factors And Limitations</w:t>
      </w:r>
    </w:p>
    <w:p>
      <w:r>
        <w:t>Technical failures: device battery depletion, sensor drift, lost or stolen equipment, failed GPS fix in dense corridors. Data quality issues: motion artifacts in EDA and PPG, sweat affecting skin-electrode contact, flat HR during non-wear, missing data leading to biased exclusions. Calibration limits: co-location windows may be shorter than ideal, propagating uncertainty into MRT/PET/UTCI estimates. Sample and generalization limits: pilot and main sample sizes may be insufficient to detect very small effects or to generalize beyond Cuiabá; vendor and consumer nonresponse bias may skew results. Privacy trade-offs: geo-masking reduces spatial precision and may limit microclimate mapping resolution; strict masking may hinder external replication. Regulatory and logistical risks: delays in municipal UAV/LiDAR permits, IRB approvals, or vendor permissions can shift timelines. Analysis limits: composite physiological measures may not be normally distributed; cross-validation may be limited by sample size. Computational/scaling limits: high-frequency wearable traces produce large datasets requiring storage and processing capacity; resource constraints may limit long-term storage of raw identifiable data.</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