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spanish_winery_resilience_ols_sem</w:t>
      </w:r>
    </w:p>
    <w:p>
      <w:r>
        <w:t xml:space="preserve"> </w:t>
      </w:r>
    </w:p>
    <w:p>
      <w:pPr>
        <w:pStyle w:val="Heading2"/>
      </w:pPr>
      <w:r>
        <w:t>Title</w:t>
      </w:r>
    </w:p>
    <w:p>
      <w:r>
        <w:t>Latent-variable structural equation modeling and OLS analysis of robustness, adaptability, and transformability in Spanish rural wineries</w:t>
      </w:r>
    </w:p>
    <w:p>
      <w:r>
        <w:t xml:space="preserve"> </w:t>
      </w:r>
    </w:p>
    <w:p>
      <w:pPr>
        <w:pStyle w:val="Heading2"/>
      </w:pPr>
      <w:r>
        <w:t>Short Hypothesis</w:t>
      </w:r>
    </w:p>
    <w:p>
      <w:r>
        <w:t>Higher firm-level innovation causes higher adaptability scores among Spanish wineries, holding observed controls constant.</w:t>
      </w:r>
    </w:p>
    <w:p>
      <w:r>
        <w:t xml:space="preserve"> </w:t>
      </w:r>
    </w:p>
    <w:p>
      <w:pPr>
        <w:pStyle w:val="Heading2"/>
      </w:pPr>
      <w:r>
        <w:t>Related Work</w:t>
      </w:r>
    </w:p>
    <w:p>
      <w:r>
        <w:t>Prior studies on winery and rural agro-industry resilience emphasize adaptability and innovation as key correlates of firm survival and performance. Common empirical approaches use cross-sectional surveys and OLS regressions on composite indices or summed scales. Limitations in existing work include reliance on same-source perceptual measures (raising common-method bias), limited treatment of latent measurement error, scarce spatial integration of objective environmental risk, and few robust causal-identification attempts. Instrumental-variable or quasi-experimental approaches are rare, and when used they often lack pre-specified IV diagnostics and qualitative validation of exclusion. Measurement invariance across firm types and regions is also seldom tested, weakening subgroup comparisons. Interaction tests (e.g., innovation × environmental pressure) are underpowered or not pre-registered, producing exploratory rather than confirmatory findings.</w:t>
      </w:r>
    </w:p>
    <w:p>
      <w:r>
        <w:t xml:space="preserve"> </w:t>
      </w:r>
    </w:p>
    <w:p>
      <w:pPr>
        <w:pStyle w:val="Heading2"/>
      </w:pPr>
      <w:r>
        <w:t>Abstract</w:t>
      </w:r>
    </w:p>
    <w:p>
      <w:r>
        <w:t>This study quantifies how internal firm attributes interact with perceived economic, environmental, and social challenges to shape three resilience capacities—robustness, adaptability, and transformability—in 411 Spanish wineries. We use latent-variable structural equation modeling (SEM) as the primary estimator to model resilience as three latent outcomes derived from survey items and estimate effects of size, legal structure, innovation, and rural commitment. Weighted least-squares (WLSMV) handles ordinal items; ordinary least squares (OLS) on factor scores is a preregistered robustness check. We pre-specify candidate instruments for innovation and rural commitment (historical cooperative density, staggered EU grant eligibility, distance to extension centers) and explicit diagnostics for IV validity. Spatial diagnostics will assess geographic dependence and link objective environmental indicators to perceived challenges. Main contributions are: (1) a measurement-robust latent SEM of firm resilience; (2) transparent causal-identification rules with qualitative validation; and (3) spatially grounded policy-relevant evidence on which internal attributes mitigate different external challenges. Results are expected to inform firm strategies and rural policy for agro-industrial resilience.</w:t>
      </w:r>
    </w:p>
    <w:p>
      <w:r>
        <w:t xml:space="preserve"> </w:t>
      </w:r>
    </w:p>
    <w:p>
      <w:pPr>
        <w:pStyle w:val="Heading2"/>
      </w:pPr>
      <w:r>
        <w:t>Methodology</w:t>
      </w:r>
    </w:p>
    <w:p>
      <w:r>
        <w:t>1) Data preparation: clean item responses, reverse-score where needed, and inspect missingness. Create municipal geocodes for each winery. 2) Measurement: run exploratory factor analysis (EFA) on polychoric correlations for ordinal items to detect dimensionality. Fit confirmatory factor analysis (CFA) with WLSMV estimator when items are ordinal (WLSMV uses polychoric correlations and adjusts for ordered categories). Produce factor scores (empirical Bayes regression scores) and compute reliability (ordinal omega and alpha). 3) Primary estimation: estimate a latent-variable SEM with three latent dependent variables (robustness, adaptability, transformability). Include internal attributes (size, legal structure, innovation, rural commitment), perceived challenge latent scores, and controls. Report standardized coefficients and fit indices (CFI/TLI, RMSEA, SRMR). 4) Robustness checks: run OLS regressions using CFA factor scores (with disattenuation using McDonald’s omega), and compare coefficients. 5) Causal identification: implement two-stage IV strategy when instruments pass diagnostics (first-stage F&gt;10, partial R2 threshold). Instruments: historical cooperative density, staggered EU grant eligibility, distance to extension centers. If IVs fail diagnostics, present sensitivity (Oster delta bounds, E-values) and label effects associational. 6) Interactions: pre-specify 2–3 two-way interactions (e.g., Innovation × EnvironmentalChallenge; RuralCommitment × EconomicChallenge). Use simulation-based power calculations to set detectable effect sizes. 7) Missing data: multiple imputation (m=20) using predictive mean matching for continuous and polytomous logistic models for ordinal items, including auxiliary variables. 8) Spatial analysis: compute Moran’s I and LISA for latent scores and SEM residuals; if residual spatial autocorrelation found, estimate spatial error or spatial lag models as robustness. 9) Qualitative triangulation: purposive interviews (30–40 firms) to test IV exclusion narratives and validate item interpretations. 10) Reproducibility: provide version-controlled scripts, codebook, and synthetic anonymized data.</w:t>
      </w:r>
    </w:p>
    <w:p>
      <w:r>
        <w:t xml:space="preserve"> </w:t>
      </w:r>
    </w:p>
    <w:p>
      <w:pPr>
        <w:pStyle w:val="Heading2"/>
      </w:pPr>
      <w:r>
        <w:t>Experiments</w:t>
      </w:r>
    </w:p>
    <w:p>
      <w:r>
        <w:t>Dataset: survey of 411 Spanish wineries with item-level responses for resilience dimensions, innovation measures, rural commitment, firm controls, and municipal geocodes; linked municipal environmental layers (AEMET/Copernicus SPI-SPEI, water stress, land-use change). Baselines: (A) OLS on raw summed scales; (B) OLS on CFA factor scores (disattenuated); (C) latent SEM without objective environmental covariates; (D) latent SEM with objective environmental covariates. Causal estimators: (E) two-stage least squares (2SLS) using candidate instruments; (F) SEM with IVs if supported. Evaluation metrics: standardized effect sizes (standardized betas) with 95% confidence intervals, SEM fit indices (CFI, TLI, RMSEA, SRMR), reliability metrics (ordinal omega, Cronbach’s alpha), AVE and HTMT for validity, first-stage F and partial R2 for IV strength, Hansen J p-value for overidentification, Moran’s I and LISA p-values for spatial autocorrelation. Experimental setup: run CFA/WLSMV to derive latent scores; run primary SEM estimating the effects of innovation and rural commitment on three latent outcomes with controls; run OLS robustness on factor scores with disattenuation. Conduct IV analyses only if first-stage F&gt;10 and partial R2&gt;=0.05; when multiple IVs use Hansen J (p&gt;0.10 acceptable). Missing-data ablation: compare complete-case results versus multiple-imputation (m=20). Spatial ablation: compare results with and without spatial-error model adjustment when Moran’s I on residuals is significant (p&lt;0.05). Interaction power study: simulation-based calculation of minimum detectable standardized interaction effect (report MDES for 80% power, α=0.05) and run main interaction tests (Innovation×EnvironmentalChallenge; RuralCommitment×EconomicChallenge). Sensitivity and falsification checks: Oster δ-bounds, E-values, placebo outcomes (variables IV should not affect) and heterogeneous checks by firm size and region. Comparison/ablation study: drop instruments and report sensitivity bounds; remove objective environmental covariates and report changes in interaction estimates.</w:t>
      </w:r>
    </w:p>
    <w:p>
      <w:r>
        <w:t xml:space="preserve"> </w:t>
      </w:r>
    </w:p>
    <w:p>
      <w:pPr>
        <w:pStyle w:val="Heading2"/>
      </w:pPr>
      <w:r>
        <w:t>Risk Factors And Limitations</w:t>
      </w:r>
    </w:p>
    <w:p>
      <w:r>
        <w:t>1) Weak or invalid instruments: candidate IVs may not satisfy exclusion or be weak (low first-stage F), limiting causal interpretation. 2) Cross-sectional design: single-time survey limits ability to assert causality and to observe temporal ordering or dynamics. 3) Common-method bias: perceived challenges and resilience outcomes from the same survey may inflate associations. 4) Measurement noninvariance: scales may function differently across firm types or regions, complicating group comparisons. 5) Low power for interactions: N=411 may be insufficient to detect small interaction effects, especially after missing-data loss. 6) Spatial dependence: unmodeled spatial autocorrelation can bias SEs and point estimates if not detected and corrected. 7) Missing-data mechanisms: nonrandom missingness (MNAR) could bias results despite imputation. 8) Data linkage limits: municipal-level environmental data may be coarse or misaligned temporally, reducing ecological precision. 9) Generalizability: findings may not generalize beyond Spanish wineries or similar agro-industrial contexts. 10) GDPR and disclosure constraints: strict anonymization may limit sharing of microdata and reduce reproducibility for external reviewers.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