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fruit_vouchers_rct_nv_ng</w:t>
      </w:r>
    </w:p>
    <w:p>
      <w:r>
        <w:t xml:space="preserve"> </w:t>
      </w:r>
    </w:p>
    <w:p>
      <w:pPr>
        <w:pStyle w:val="Heading2"/>
      </w:pPr>
      <w:r>
        <w:t>Title</w:t>
      </w:r>
    </w:p>
    <w:p>
      <w:r>
        <w:t>Randomized controlled trial of fruit vouchers to increase fruit affordability and consumption in peri-urban and urban Nigeria and Vietnam</w:t>
      </w:r>
    </w:p>
    <w:p>
      <w:r>
        <w:t xml:space="preserve"> </w:t>
      </w:r>
    </w:p>
    <w:p>
      <w:pPr>
        <w:pStyle w:val="Heading2"/>
      </w:pPr>
      <w:r>
        <w:t>Short Hypothesis</w:t>
      </w:r>
    </w:p>
    <w:p>
      <w:r>
        <w:t>Providing household-level fruit vouchers that reduce the effective price of purchased fruit will increase average household fruit consumption (grams/day) relative to no-voucher control after 12 months.</w:t>
      </w:r>
    </w:p>
    <w:p>
      <w:r>
        <w:t xml:space="preserve"> </w:t>
      </w:r>
    </w:p>
    <w:p>
      <w:pPr>
        <w:pStyle w:val="Heading2"/>
      </w:pPr>
      <w:r>
        <w:t>Related Work</w:t>
      </w:r>
    </w:p>
    <w:p>
      <w:r>
        <w:t>Previous studies have used targeted subsidies, vouchers, or price discounts to change food purchasing and consumption. Existing approaches show short-term increases in purchase or intake but often have limitations: small or single-site samples, weak measurement of prices and edible quantity, limited dietary validation (few repeated 24-hour recalls or biomarkers), incomplete accounting for vendor supply responses, sparse fraud controls for digital redemption, and insufficient measurement of spillovers to neighbors or vendors. Many studies rely on self-reported frequency surveys rather than multiple-pass 24HR recalls, and few pre-specify estimands for partial interference (spillovers). These gaps leave open questions about whether vouchers change true intake (not just spending), how vouchers affect local prices and vendor behavior, and how scalable digital voucher systems perform in low-resource urban markets.</w:t>
      </w:r>
    </w:p>
    <w:p>
      <w:r>
        <w:t xml:space="preserve"> </w:t>
      </w:r>
    </w:p>
    <w:p>
      <w:pPr>
        <w:pStyle w:val="Heading2"/>
      </w:pPr>
      <w:r>
        <w:t>Abstract</w:t>
      </w:r>
    </w:p>
    <w:p>
      <w:r>
        <w:t>Urban and peri-urban households frequently face barriers to buying sufficient fruit. We propose a randomized controlled trial to test whether household-level fruit vouchers that lower the effective price of fruits increase fruit affordability and consumption in Nigeria and Vietnam. The trial uses household randomization (with cluster two-stage pilots to assess spillovers), two voucher sizes tied to baseline fruit spend, accredited local vendors, and a dual-mode voucher system (mobile + printed QR). Primary measurement combines three non-consecutive multiple-pass 24-hour recalls per round, a 30% validation repeat, weekly sentinel market price monitoring, and a dried blood spot biomarker subsample. Main contributions are (1) credible causal estimates of price-driven changes in gram/day fruit intake, (2) quantification of market responses and price pass-through, and (3) an operational blueprint for secure, low-cost voucher delivery. Results will inform urban nutrition policy by estimating intake effects, cost per additional serving, and the market risks of scaling voucher programs.</w:t>
      </w:r>
    </w:p>
    <w:p>
      <w:r>
        <w:t xml:space="preserve"> </w:t>
      </w:r>
    </w:p>
    <w:p>
      <w:pPr>
        <w:pStyle w:val="Heading2"/>
      </w:pPr>
      <w:r>
        <w:t>Methodology</w:t>
      </w:r>
    </w:p>
    <w:p>
      <w:r>
        <w:t>1) Sampling and enrollment: select random peri-urban and urban enumeration areas (EAs) in each country; door-to-door census within EAs; include households with an adult (≥18) primarily responsible for food purchases; exclude institutional households and planned movers. 2) Randomization: household-level random assignment to arms using seeded R scripts stratified by country × urban/peri-urban × baseline consumption tercile; in pilots implement two-stage randomization (cluster encouragement + household assignment) to measure spillovers. 3) Voucher arms: define two face values relative to baseline monthly fruit spend (Low ≈ 20%; High ≈ 50%); frequency weekly or biweekly disbursement; expiry 4–8 weeks; redemption at accredited vendors; vouchers non-fungible to cash (usable for fruit or fruit+vegetable variant if assigned). (Non-fungible means not directly exchangeable for cash.) 4) Voucher delivery and fraud controls: dual modality (USSD/SMS/e-wallet + printed one-time QR codes); one-time cryptographically-signed tokens (a signed digital token is a secure code that cannot be reused), offline-first Android vendor app capturing GPS, photo receipt, and weight/kg; weekly reconciliation and 10% matched household–vendor audits. 5) Dietary measurement: three non-consecutive multiple-pass 24-hour recalls (one weekend day) per survey round; 30% validation subsample with extra repeat recall within two weeks; standardized photo atlases and portion-size aids. (Multiple-pass 24HR is a structured interview method that asks about all foods consumed across several steps to improve recall accuracy.) 6) Price and market data: sentinel weekly monitoring of 8–12 retail vendors and 3–5 wholesale nodes per site; define effective price/kg = (cash_paid + voucher_value_applied) / edible_kg_purchased, adjusted by FAO edible-fraction. 7) Biomarkers: dried blood spot (DBS) subsample n=100–150 per country for RBP and vitamin C where feasible; store dry, −20°C, ship with cold chain. 8) Data governance: PII encrypted in-country, pseudonymized analytic datasets, role-based access, TLS in transit and AES-256 at rest. 9) Analysis overview: primary ITT ANCOVA adjusted for baseline outcome and stratification variables; TOT via 2SLS using assignment as instrument for redemption; spillover estimation with partial-interference estimators.</w:t>
      </w:r>
    </w:p>
    <w:p>
      <w:r>
        <w:t xml:space="preserve"> </w:t>
      </w:r>
    </w:p>
    <w:p>
      <w:pPr>
        <w:pStyle w:val="Heading2"/>
      </w:pPr>
      <w:r>
        <w:t>Experiments</w:t>
      </w:r>
    </w:p>
    <w:p>
      <w:r>
        <w:t>1) Pilot (per country): n=150 households; implement enumeration, randomization scripts, dual voucher modalities, vendor onboarding, 3-wave 24HR testing, DBS pilot n=100–150, weekly price monitoring, and matched audits (10% transactions). Collect pilot SDs, ICCs, and redeem rates. 2) Main trial arms (household randomization default): Arm A control (no voucher); Arm B low-value voucher (~20% baseline monthly fruit spend); Arm C high-value voucher (~50% baseline monthly fruit spend). Optional factorial sub-arm: fruit-only vs fruit+vegetable redemption rules and SMS reminder (yes/no) within voucher arms. Target sample size per arm: default 400 households/arm (adjust after pilot) to detect MDES = 30 g/day assuming 15% attrition; report alternate sample sizes for MDES = 25 and 40 g/day and for cluster designs (m≈20) with ICCs 0.02–0.05. 3) Data collection schedule: baseline, midline (3 months), endline (12 months); each round: 3x24HR, FFQ, vendor price logs, voucher redemption records, household economic module, and DBS subsample at baseline and endline for biomarker panel. 4) Baselines and datasets: enumerated household survey data, vendor sentinel price dataset, voucher redemption ledger, DBS lab outputs. 5) Baselines (comparators): control arm provides usual conditions; compare low vs control, high vs control, and high vs low. 6) Evaluation metrics: primary — household fruit grams/day averaged over 3 recalls; servings/day per capita (80 g/serving); effective price per edible kg. Secondary — voucher redemption rate, household fruit expenditure share, child intake (if present), dietary diversity (MDD-W/HDDS), biomarker concentrations, and cost per additional serving/day. 7) Statistical setup: primary analysis ITT ANCOVA with baseline adjustment and clustered SEs; TOT via 2SLS; multiple testing: hierarchical test for co-primary outcomes, Benjamini-Hochberg FDR for secondary families. 8) Ablation/Comparisons: (a) value ablation: low vs high voucher values (tests dosage effect); (b) behavior ablation: voucher with SMS reminders vs voucher without (tests behavioral nudge); (c) system ablation in pilot: mobile-only vs printed QR-only redemption. 9) Sensitivity and robustness: skewed/zero-inflated outcomes modeled with median regressions and two-part models (participation decision + amount), bootstrap/wild cluster bootstrap for few clusters, and spillover checks using distance thresholds (100m, 250m, 500m).</w:t>
      </w:r>
    </w:p>
    <w:p>
      <w:r>
        <w:t xml:space="preserve"> </w:t>
      </w:r>
    </w:p>
    <w:p>
      <w:pPr>
        <w:pStyle w:val="Heading2"/>
      </w:pPr>
      <w:r>
        <w:t>Risk Factors And Limitations</w:t>
      </w:r>
    </w:p>
    <w:p>
      <w:r>
        <w:t>1) Noncompliance and partial take-up: households may not redeem vouchers, reducing power and complicating TOT estimates. 2) Fraud and vendor gaming: forged receipts or collusion can bias redemption and market measures. 3) Market responses: increased local demand could raise prices or cause stockouts, altering effective treatment intensity and external validity. 4) Dietary measurement error: 24HR recalls rely on memory and portion estimation; errors may attenuate effect estimates. 5) Biomarker issues: vitamin C in DBS can degrade if cold chain fails; some biomarkers may have limited sensitivity to modest intake changes. 6) Spillovers and contamination: neighbor sharing or vendor concentration may violate SUTVA (assumption that one unit's treatment doesn't affect others), complicating identification. 7) Sample size and power risks: over/underestimation of SDs, ICCs, or redemption rates may leave the trial underpowered for target MDES. 8) Data infrastructure and connectivity: feature-phone prevalence, mobile-money availability, or offline environments may limit digital voucher modalities. 9) Privacy and re-identification: GPS and receipt photos increase re-identification risk for participants. 10) Generalizability limits: results from peri-urban/urban sites in Nigeria and Vietnam may not generalize to rural areas or other countries.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