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osh_ageing_workforce_lwr_study</w:t>
      </w:r>
    </w:p>
    <w:p>
      <w:r>
        <w:t xml:space="preserve"> </w:t>
      </w:r>
    </w:p>
    <w:p>
      <w:pPr>
        <w:pStyle w:val="Heading2"/>
      </w:pPr>
      <w:r>
        <w:t>Title</w:t>
      </w:r>
    </w:p>
    <w:p>
      <w:r>
        <w:t>An exploratory multilevel questionnaire and administrative data study of occupational safety and health interventions and their effect on lost workday rate and productivity in an ageing workforce</w:t>
      </w:r>
    </w:p>
    <w:p>
      <w:r>
        <w:t xml:space="preserve"> </w:t>
      </w:r>
    </w:p>
    <w:p>
      <w:pPr>
        <w:pStyle w:val="Heading2"/>
      </w:pPr>
      <w:r>
        <w:t>Short Hypothesis</w:t>
      </w:r>
    </w:p>
    <w:p>
      <w:r>
        <w:t>Higher fidelity implementation of workplace OSH interventions causes a reduction in firm-level Lost Workday Rate (lost workdays per 100 FTE over 12 months) and greater reductions occur among workers aged 50+ compared with younger workers.</w:t>
      </w:r>
    </w:p>
    <w:p>
      <w:r>
        <w:t xml:space="preserve"> </w:t>
      </w:r>
    </w:p>
    <w:p>
      <w:pPr>
        <w:pStyle w:val="Heading2"/>
      </w:pPr>
      <w:r>
        <w:t>Related Work</w:t>
      </w:r>
    </w:p>
    <w:p>
      <w:r>
        <w:t>Prior studies report that OSH interventions can improve safety and productivity, and that training and communication are key drivers while age-related health issues are common barriers. Existing approaches typically rely on cross-sectional surveys, small non-representative samples, single-site trials, or unlinked self-report measures of productivity. Limitations include weak causal designs (limited use of quasi-experimental designs), inconsistent measurement (self-reported productivity not validated against administrative lost workdays), sparse psychometric testing across age groups (few studies test measurement invariance), underpowered tests for age interactions and mediation, and limited operationalization of intervention fidelity and contamination. These gaps leave open questions about measurement bias, causal identification, effect heterogeneity by age, and the real-world implementability of interventions at firm scale.</w:t>
      </w:r>
    </w:p>
    <w:p>
      <w:r>
        <w:t xml:space="preserve"> </w:t>
      </w:r>
    </w:p>
    <w:p>
      <w:pPr>
        <w:pStyle w:val="Heading2"/>
      </w:pPr>
      <w:r>
        <w:t>Abstract</w:t>
      </w:r>
    </w:p>
    <w:p>
      <w:r>
        <w:t>This study maps common occupational safety and health (OSH) interventions for ageing workers and tests whether higher-fidelity intervention delivery reduces lost workdays and improves productivity, especially for workers aged 50+. We propose an exploratory mixed-methods design combining a 15–20 minute core worker questionnaire, optional modules, and firm administrative data. Key elements: a pilot for item refinement and intraclass correlation (ICC) estimation, multi-group confirmatory factor analysis to check measurement invariance across age groups, and firm-level linkage to employer lost workday records (primary outcome = lost workdays per 100 FTE over 12 months). Analytically we will use multilevel generalized linear mixed models (negative-binomial for counts) with prespecified covariates, cluster propensity weighting, mediation analysis for safety climate pathways, and contamination-adjusted sensitivity checks. Expected contributions: validated conversion between self-reported productivity and administrative lost workdays, a fidelity index for OSH interventions, estimates of age-moderated effects, and reproducible analytic templates to support policy-relevant inference.</w:t>
      </w:r>
    </w:p>
    <w:p>
      <w:r>
        <w:t xml:space="preserve"> </w:t>
      </w:r>
    </w:p>
    <w:p>
      <w:pPr>
        <w:pStyle w:val="Heading2"/>
      </w:pPr>
      <w:r>
        <w:t>Methodology</w:t>
      </w:r>
    </w:p>
    <w:p>
      <w:r>
        <w:t>1) Intervention mapping: create a taxonomy of common OSH interventions relevant to older workers (ergonomics, lifting aids, adjusted schedules, age-tailored training, assistive devices, workstation adjustments, communication/training). 2) Questionnaire development: draft a 15–20 minute core module with items on intervention exposure (availability Y/N), frequency, training type, perceived usefulness (1–5), 6-item safety climate, 4 short WLQ/HPQ productivity items, 2–3 WAI items, one MSK screener, and covariates (age, tenure, job title, physical demands). 3) Pilot and cognitive interviews: run 10–15 cognitive interviews across age groups and a pilot n=30–100 to estimate item properties and ICCs. 4) Psychometrics: run EFA then CFA and multi-group CFA (configural → metric → scalar) across age50+ vs &lt;50. CFA fit: ΔCFI ≤0.01 and ΔRMSEA ≤0.015. If scalar invariance fails, apply partial invariance or alignment optimization. (CFA = confirmatory factor analysis; checks if items measure same construct across groups.) 5) Administrative linkage: obtain firm-level or individual-level lost workday counts and FTE exposure for 12 months pre/post via Data Processing Agreement. Define LWR = (lost workdays / FTE) × 100, where FTE = total paid hours / 2080. 6) Validation substudy: compare converted WLQ/HPQ→lost-days to admin LWR in a subsample; compute bias, mean squared error (MSE) and calibration adjustment. 7) Analysis: primary model = multilevel GLMM for counts (negative-binomial if overdispersion) with firm random intercepts and offset = log(FTE), covariates (baseline LWR, firm size, sector, union status, region, average tenure, job-mix), and prespecified interaction intervention × age50plus. (GLMM = generalized linear mixed model; accounts for clustering by firm.) 8) Identification: pre-register cluster propensity score weighting and balance checks; for subsets with staggered rollout use stepped-wedge or DiD with firm fixed effects; consider IV/CACE only where valid instruments exist. 9) Mediation: estimate safety climate → behavior → health → productivity paths with multilevel SEM (structural equation modeling) or causal mediation with cluster bootstrap. 10) Missing data: use two-level multiple imputation (pan or multilevel MICE) with 20 imputations including cluster ID and auxiliary variables. 11) Fidelity and contamination: compute firm-level fidelity index (normalized 0–100) combining availability, utilization and training quality; flag contamination if &gt;20% of control-firm workers report exposure and run contamination-adjusted analyses.</w:t>
      </w:r>
    </w:p>
    <w:p>
      <w:r>
        <w:t xml:space="preserve"> </w:t>
      </w:r>
    </w:p>
    <w:p>
      <w:pPr>
        <w:pStyle w:val="Heading2"/>
      </w:pPr>
      <w:r>
        <w:t>Experiments</w:t>
      </w:r>
    </w:p>
    <w:p>
      <w:r>
        <w:t>Design: cluster observational field study with an embedded pilot and validation substudy. Sample: target ≈60 firms, median 10–15 workers/firm, total n≈720 workers, with ≥300 aged 50+. Pilot: n=30–100 across 10–15 firms. Validation substudy: subset of firms (n≥15) providing both WLQ/HPQ and admin LWR. Data: worker survey responses, firm administrative lost workday counts (12 months pre and 12 months post baseline), basic payroll hours, and fidelity logs. Baselines: (1) Firms with low intervention fidelity (control-like), (2) Firms with high fidelity, (3) Per-protocol sample restricting to workers who report intervention use. Evaluation metrics: primary = incidence rate ratio (IRR) for LWR (negative-binomial model), secondary = mean difference in WLQ percent loss, latent safety climate score differences, WAI mean differences, MSK symptom prevalence ratio, CFA fit indices (CFI, RMSEA), ICC estimates, validation metrics (bias, RMSE, calibration slope for WLQ→LWR conversion), mediation effect sizes and bootstrapped confidence intervals. Models and setup: - Primary analysis: multilevel negative-binomial GLMM with firm random intercepts, offset log(FTE), covariate adjustment, cluster-robust SEs. - Propensity weighting: compute cluster-level propensity scores (probability of high-fidelity exposure) using firm covariates; apply stabilized weights and check standardized mean differences &lt;0.1. - Sensitivity analyses: (a) contamination-adjusted estimates including fidelity as continuous covariate, (b) CACE/IV if valid instrument (rollout timing) exists, (c) per-protocol vs ITT comparisons, (d) models using converted WLQ→lost-days vs admin LWR. Ablation studies: 1) Exclude fidelity index from models to compare effect estimates; 2) Replace cluster propensity weighting with covariate adjustment only; 3) Replace multilevel SEM mediation with single-level mediation to compare mediation estimates. Power and MDE: biostatistician provides tables for ICCs {0.02,0.05,0.08,0.10} and cluster sizes {5,10,15,20} showing detectable IRR and interaction effect sizes. Reporting: report ITT primary estimate, contamination-adjusted secondary, mediation estimates with bootstrap CIs, and validation calibration results.</w:t>
      </w:r>
    </w:p>
    <w:p>
      <w:r>
        <w:t xml:space="preserve"> </w:t>
      </w:r>
    </w:p>
    <w:p>
      <w:pPr>
        <w:pStyle w:val="Heading2"/>
      </w:pPr>
      <w:r>
        <w:t>Risk Factors And Limitations</w:t>
      </w:r>
    </w:p>
    <w:p>
      <w:r>
        <w:t>1) Measurement error: WLQ/HPQ→lost-days conversion may not match administrative LWR; validation may show bias. 2) Selection bias: firms volunteering may differ from non-participants in unobserved ways, limiting causal claims. 3) Residual confounding: propensity weighting may not remove all confounders, especially time-varying confounding. 4) Low older-worker representation: failing to reach ≥300 workers aged 50+ reduces power for age interactions and invariance tests. 5) Administrative data refusal: some firms may refuse to share admin counts or only provide aggregates, reducing ability to link individual responses. 6) Contamination: control firms may adopt interventions, diluting contrasts and biasing ITT estimates towards null. 7) Small clusters: many firms with &lt;5 respondents increase variance and estimation risk; exclusion reduces generalizability. 8) Power limits: detecting mediation and age×intervention interactions requires larger samples than for main effects and may be underpowered. 9) Missing not at random (MNAR): systematic nonresponse by injured or older workers can bias results beyond standard MI assumptions. 10) Generalizability: results may not transfer across sectors, regions, or firm sizes outside the sampled frame.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