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circular_ecosystem_osh_pilot</w:t>
      </w:r>
    </w:p>
    <w:p>
      <w:r>
        <w:t xml:space="preserve"> </w:t>
      </w:r>
    </w:p>
    <w:p>
      <w:pPr>
        <w:pStyle w:val="Heading2"/>
      </w:pPr>
      <w:r>
        <w:t>Title</w:t>
      </w:r>
    </w:p>
    <w:p>
      <w:r>
        <w:t>A mixed-methods circular-ecosystem framework with dynamic system and agent-based modeling to evaluate occupational safety and health interventions across cross-national pilot sites</w:t>
      </w:r>
    </w:p>
    <w:p>
      <w:r>
        <w:t xml:space="preserve"> </w:t>
      </w:r>
    </w:p>
    <w:p>
      <w:pPr>
        <w:pStyle w:val="Heading2"/>
      </w:pPr>
      <w:r>
        <w:t>Short Hypothesis</w:t>
      </w:r>
    </w:p>
    <w:p>
      <w:r>
        <w:t>Applying a circular-ecosystem intervention that aligns governance, data/material flows, and circular activities across actors causes at least a 10% relative reduction in the Circular Safety Index (CSI) from baseline within six months in pilot sites.</w:t>
      </w:r>
    </w:p>
    <w:p>
      <w:r>
        <w:t xml:space="preserve"> </w:t>
      </w:r>
    </w:p>
    <w:p>
      <w:pPr>
        <w:pStyle w:val="Heading2"/>
      </w:pPr>
      <w:r>
        <w:t>Related Work</w:t>
      </w:r>
    </w:p>
    <w:p>
      <w:r>
        <w:t>Existing work on occupational safety and health (OSH) interventions uses single-sector or single-actor approaches, standard implementation science protocols, and isolated metrics (incident counts, exposure measures). Systems approaches (causal loop diagrams and system dynamics) have been applied to safety but rarely integrated with agent-based models (ABMs) for multi-actor behavior. Circular economy studies focus on material reuse and flows but do not systematically link reuse dynamics to safety outcomes. Prior composite indices in OSH are limited and often lack multi-stakeholder weighting, cross-national validation, or explicit handling of informal/subcontracted workers. Data interoperability and privacy solutions in OSH are fragmented: few projects predefine schemas, federated analysis, or differential privacy for public releases. Limitations of current methods include narrow actor scope, weak cross-jurisdiction comparability, minimal attention to informal sectors, lack of validated composite measures that combine safety and circularity, and insufficient integration of qualitative expert knowledge into model parameterization.</w:t>
      </w:r>
    </w:p>
    <w:p>
      <w:r>
        <w:t xml:space="preserve"> </w:t>
      </w:r>
    </w:p>
    <w:p>
      <w:pPr>
        <w:pStyle w:val="Heading2"/>
      </w:pPr>
      <w:r>
        <w:t>Abstract</w:t>
      </w:r>
    </w:p>
    <w:p>
      <w:r>
        <w:t>This study tests a circular-ecosystem intervention framework (CEIC) that reconceptualizes occupational safety and health (OSH) interventions as multi-actor, process-oriented systems. We combine qualitative expert elicitation and cross-national pilot data to operationalize a composite Circular Safety Index (CSI) that integrates incident rates, material reuse, PPE lifecycle, data completeness/latency, and worker well-being. CSI component weights are elicited via a two-round Delphi and evaluated against empirical sensitivity. We translate CEIC into dynamic models: causal loop diagrams, a calibrated system dynamics (SD) prototype, and a sector-level agent-based model (ABM) to simulate policy and governance levers. Data standards, privacy (differential privacy), and federated analysis are pre-specified for cross-border data sharing. Main contributions are: (1) a testable CSI with psychometric validation, (2) a reproducible modeling pipeline combining SD and ABM with Bayesian calibration, and (3) a cross-national pilot protocol that includes informal workers and operationalizes ethics and data governance. Expected outcomes are validated measures, decision-ready models that identify robust leverage points, and protocols for ethical, interoperable cross-national OSH piloting.</w:t>
      </w:r>
    </w:p>
    <w:p>
      <w:r>
        <w:t xml:space="preserve"> </w:t>
      </w:r>
    </w:p>
    <w:p>
      <w:pPr>
        <w:pStyle w:val="Heading2"/>
      </w:pPr>
      <w:r>
        <w:t>Methodology</w:t>
      </w:r>
    </w:p>
    <w:p>
      <w:r>
        <w:t>1) CEIC mapping and instruments: create a simple mapping of the five ecosystem elements (value, actors, data/material flows, circular activities, governance) and four phases (design, implementation, evaluation, follow-up). Develop semi-structured interview and focus-group guides. 2) CSI definition and Delphi weighting: define five CSI subcomponents (incident rate per 1,000 work-hours, reuse rate percent, PPE lifecycle days/cycles, data completeness/latency score, worker well-being index). Run a two-round Delphi with 25–40 stakeholders to collect median weights and interquartile ranges. (Delphi: an online structured consensus method where experts answer rounds of questions and see anonymized group feedback between rounds.) 3) Psychometrics for well-being: select or adapt validated items, translate and back-translate, run cognitive interviews, and perform confirmatory factor analysis (CFA) and reliability (Cronbach's alpha and omega). Test measurement invariance across countries: configural, metric, and scalar levels. (CFA: a statistical method to test whether survey items measure the intended underlying factor.) 4) Pilot data collection: deploy in 12 sites across three countries representing governance archetypes. Collect: material flow accounting (MFA) CSV templates, maintenance/CMMS logs, incident/adverse event logs, insurer claims summaries, sensor summaries (non-identifying location hash), and worker surveys. Use purposive sampling with quotas for informal/subcontracted workers and local gatekeepers for safe recruitment. 5) Data standards and privacy: adopt JSON Schema + JSON-LD payloads; map health fields to FHIR if individual health data are present. Use role-based access controls, field-level pseudonymization, and federated analysis when raw data cannot move. For public outputs, apply differential privacy (DP) experiments with epsilon tuning (0.5–2). (DP: a method that adds controlled random noise to outputs to protect individual privacy.) 6) Modeling pipeline: produce causal loop diagrams (CLDs), build an SD prototype for aggregate flows, and develop ABM skeleton for heterogeneous actor behavior. Parameterize models using MFA, incident logs, literature priors, and structured expert elicitation methods (IDEA or SHELF). Use Bayesian calibration to update priors with pilot data; perform global sensitivity analysis (Sobol indices) and Monte Carlo uncertainty quantification. 7) Analysis: primary analysis uses mixed-effects models (linear mixed model) for repeated CSI measures with random intercepts for site and worker; report effect size, 95% confidence/credible intervals, and standardized response means. 8) Reproducibility: use open-source toolchain (Python/R, PySD or BPTK for SD, Mesa for ABM), Git, Docker containers, and publish code with synthetic or DP-protected example datasets.</w:t>
      </w:r>
    </w:p>
    <w:p>
      <w:r>
        <w:t xml:space="preserve"> </w:t>
      </w:r>
    </w:p>
    <w:p>
      <w:pPr>
        <w:pStyle w:val="Heading2"/>
      </w:pPr>
      <w:r>
        <w:t>Experiments</w:t>
      </w:r>
    </w:p>
    <w:p>
      <w:r>
        <w:t>Datasets: (A) Pilot collection across 12 sites: MFA CSVs (kg/unit, kg/month), sensor summaries (timestamped aggregates), CMMS export (maintenance events), incident logs (date, severity, lost work-hours), insurer claims summaries (aggregated), and worker surveys (well-being items, demographics). (B) Auxiliary public benchmarks: national inspectorate rates, ILO/OECD governance indicators. Baselines: (1) status-quo (no CEIC intervention) in matched control sites or pre-intervention periods; (2) CSI computed with equal weights; (3) SD-only modeling versus SD+ABM pipeline. Evaluation metrics: primary = relative change in CSI at 6 months; secondary = incident rate per 1,000 work-hours, reuse rate (%), PPE lifecycle days, data completeness (% fields present), worker well-being score, standardized response mean (SRM), Cronbach's alpha/omega, CFA fit indices (CFI &gt;=0.90, RMSEA &lt;=0.08), mixed-effects model AIC/BIC, predictive RMSE for model forecasts, calibration (posterior predictive checks), and coverage of 95% credible intervals. Experimental setup: repeated-measures design with baseline and monthly monitoring for 6 months. Analysis model: linear mixed-effects specification: CSI_it = beta0 + beta1*post intervention_t + beta2*time_t + X_it*gamma + u_site + u_worker + e_it, where u_site and u_worker are random intercepts. Power: run clustered Monte Carlo simulations with 12 sites, ICC in {0.05,0.10,0.15}, attrition {15%,25%}, cluster sizes explored 30–80 respondents per site; target power 80% at alpha 0.05 for MCID candidates of 10%, 15%, 20% relative CSI change and distribution-based 0.5 SD. Ablation studies: A1) compare CSI performance using Delphi median weights vs equal weights vs empirically optimized weights that maximize SRM; A2) compare predictive accuracy and identified leverage points between SD-only and SD+ABM models; A3) measure utility loss vs privacy gain across DP epsilons {0.5,1,2} by computing RMSE and disclosure risk metrics. Holdout tests: leave-one-site-out cross-validation for model calibration and forecast evaluation.</w:t>
      </w:r>
    </w:p>
    <w:p>
      <w:r>
        <w:t xml:space="preserve"> </w:t>
      </w:r>
    </w:p>
    <w:p>
      <w:pPr>
        <w:pStyle w:val="Heading2"/>
      </w:pPr>
      <w:r>
        <w:t>Risk Factors And Limitations</w:t>
      </w:r>
    </w:p>
    <w:p>
      <w:r>
        <w:t>1) Data sparsity: incomplete MFA, irregular incident logs, or missing CMMS exports may impair parameter estimation and bias CSI components. 2) Sampling bias: informal and subcontracted workers may be under-sampled or inaccessible, leading to nonrepresentative results. 3) Attrition: high participant dropout over repeated measures can reduce power and bias longitudinal estimates. 4) Cross-jurisdiction legal constraints: data sovereignty or IRB delays may prevent data pooling or require federated analyses with reduced precision. 5) Measurement validity limits: well-being scales may not be fully invariant across cultures, affecting comparability. 6) Model misspecification: SD or ABM structures may omit critical feedbacks, producing misleading leverage points. 7) Computational limits: Bayesian calibration and global sensitivity analyses can be compute-intensive for ABMs with many parameters. 8) Privacy-utility trade-off: aggressive differential privacy may render public releases insufficiently informative. 9) Generalization limits: results from 12 pilot sites and chosen sectors may not generalize to other countries, sectors, or scales. 10) Resource constraints: required FTEs, local partner capacity, or budgets may be insufficient to complete all planned deliverables on schedule.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