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rawlsian_ai_women_tourism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Evaluating responsible AI interventions to increase inclusivity for women entrepreneurs in tourism using a mixed-methods stepped-wedge trial and a Rawls-index outcome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responsible AI intervention optimized for Rawls-index outcomes will increase the Rawls-index of the least-advantaged cohort by at least 0.10 within 12 months compared to baseline and matched control clusters.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applies AI to support small businesses and tourism vendors via recommender systems, multilingual chatbots, and decision aids. Fairness-aware recommender techniques and interpretable models have been proposed to boost visibility for underrepresented sellers. Participatory and ethical AI studies emphasize co-design, consent, and distributional impact assessment. Limitations remain: few studies measure distributional gains for explicitly defined least-advantaged groups, most evaluations are non-causal or short-term, fairness metrics are not integrated with socio-political frameworks, and many proposals lack practical governance, consent procedures, or robust privacy protections for vulnerable participants. Small-sample settings (informal operators, migrants) create challenges for privacy methods and for detecting effects. There is a gap in combining a philosophically grounded composite outcome (Rawlsian), rigorous causal rollout designs, participatory weighting, and reproducible privacy-preserving reporting.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responsible AI can reduce barriers and increase inclusivity for women entrepreneurs in tourism. We define a Rawls-index that aggregates three domains—Liberties (privacy and contestability), Opportunity (access, digital literacy, training), and Difference (economic gains such as bookings and income)—and evaluate whether AI prototypes (fairness-aware recommender and localized chatbot) improve outcomes for the least-advantaged cohort. We use a mixed-methods design: purposive qualitative sampling (30–40 interviews, 4–6 focus groups) and a hybrid stepped-wedge rollout across 8–12 clusters with randomized encouragement to use prototypes. Primary analysis uses mixed-effects models and instrumental-variable estimation to measure causal effects on the Rawls-index at 6 and 12 months. Main contributions are (1) an operational Rawls-index with pre-registered items and robustness checks, (2) an ethical deployment protocol combining participatory weighting, DPIA, and privacy-preserving releases, and (3) causal evidence on AI’s distributional impact for women in tourism. Expected outcome: rigorous, reproducible evidence on whether responsibly designed AI increases measurable inclusivity for least-advantaged women entrepreneurs.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Define Rawls-index: three domain scores each from 0–1. Domains and example indicators: Liberties = privacy-control score (survey items on data control), consent-granularity index (ability to opt-in/out), contestability access (availability of appeals); Opportunity = device/connectivity index (self-report + speed test), digital-literacy score (short validated items), language-support/training uptake (attendance logs); Difference = percent change in bookings (platform logs or self-report), percent change in income (3-month rolling average), algorithmic visibility change (rank or impressions from platform). 2) Normalization: min–max scale each indicator to 0–1 using baseline sample minima/maxima; domain score = mean of domain indicators; Rawls-index = weighted sum of domains. 3) Weights: provisional Difference 0.40, Opportunity 0.35, Liberties 0.25. Participatory re-weighting: convene community panel (≥8 members, majority entrepreneurs); panel votes on weights in two rounds; tie-break by simple majority; final weights pre-registered. 4) Sampling and data: purposive maximum-variation sampling across subsectors and intersectional groups (30–40 interviews, 4–6 focus groups); baseline survey for stratification and index items; platform logs where available. 5) Deployment: hybrid stepped-wedge across 8–12 geographic clusters, randomized encouragement inside clusters to reduce selection bias. Measurement at baseline, 6 months, 12 months. 6) Analysis: compute Rawls-index per participant; primary estimator = mixed-effects regression with cluster and participant random effects and time fixed effects; use 2SLS with encouragement as instrument for usage to estimate complier average causal effect (CACE). 7) Robustness: bootstrap confidence intervals for index changes, sensitivity to alternate weights (equal, PCA), alternate normalization, and missing-data rules (multiple imputation). 8) Privacy &amp; NLP: automated NER redaction + human review for transcripts; store linking keys encrypted and separately; publish differentially private aggregates with preselected epsilon range. 9) Documentation &amp; preregistration: publish item-level CSV, normalization rules, primary estimand, and analysis scripts.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baseline survey data (demographics, device/connectivity, digital literacy, income/bookings), platform logs (impressions, bookings, rank), qualitative transcripts, and administrative pilot logs. Clusters: 8–12 geographic/market clusters; participants per cluster: target 20–30 post-attrition. Baselines for comparison: (A) no-intervention control clusters; (B) standard AI (non-fairness-aware recommender/chatbot); (C) alternate-weight Rawls-index (equal weights). Evaluation metrics: primary = change in Rawls-index for least-advantaged cohort at 12 months; secondary = percent change in bookings, percent change in income, adoption rate, user satisfaction (Likert), reported harms rate. Statistical setup: alpha = 0.05; mixed-effects regression: RawlsDelta_ij = beta * Treatment_ij + covariates + u_cluster + e_ij; cluster-robust SEs. Instrumental analysis: 2SLS using randomized encouragement to estimate CACE for usage. Multiple-testing: limit subgroup tests ≤4; use Holm-Bonferroni correction. Ablation studies: (1) remove Liberties domain from index and re-estimate treatment effect; (2) compare provisional weights vs PCA-derived weights; (3) disable randomized encouragement to test bias from self-selection. Sensitivity analyses: ICC scenarios 0.01, 0.05, 0.10 for power; spillover check via buffer-cluster comparisons and network-exposure covariate. Reporting: bootstrap 95% CIs for index changes (1,000 resamples), tables of effect sizes under each weighting scheme, prespecified primary endpoint is Rawls-index change for least-advantaged cohort at 12 months.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prototype bugs, low adoption reducing power, inaccurate automated redaction causing privacy leaks. Data and measurement bias: self-report error in income/bookings, incomplete platform logs, translator errors in instruments. Small sample issues: high noise in DP releases, limits on detecting small effects. Validity of new scales: privacy-control and contestability scales may have poor psychometrics without larger pilots. Spillovers and contamination: participant interactions across clusters can bias estimates. Generalization limits: results may not transfer across countries, platform types, or larger urban economies. Legal and vendor risks: cross-border data transfer restrictions or vendor non-compliance. Community trust risks: perceived coercion if recruitment via NGOs or misaligned benefit-sharing. Computational limits: resource needs for NLP, audits, and DP mechanisms may be higher than budgeted. Time constraints: psychometric validation and participatory re-weighting require added time before full rollout.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