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thai_eldercare_gender_norms</w:t>
      </w:r>
    </w:p>
    <w:p>
      <w:r>
        <w:t xml:space="preserve"> </w:t>
      </w:r>
    </w:p>
    <w:p>
      <w:pPr>
        <w:pStyle w:val="Heading2"/>
      </w:pPr>
      <w:r>
        <w:t>Title</w:t>
      </w:r>
    </w:p>
    <w:p>
      <w:r>
        <w:t>A household panel and quasi-experimental study of how community gender norms about altruism affect unpaid elderly caregiving in Thailand</w:t>
      </w:r>
    </w:p>
    <w:p>
      <w:r>
        <w:t xml:space="preserve"> </w:t>
      </w:r>
    </w:p>
    <w:p>
      <w:pPr>
        <w:pStyle w:val="Heading2"/>
      </w:pPr>
      <w:r>
        <w:t>Short Hypothesis</w:t>
      </w:r>
    </w:p>
    <w:p>
      <w:r>
        <w:t>Stronger community-level gender norms that endorse altruistic behavior causally increase the amount of unpaid care hours provided to older adults by community members, with a larger effect on female caregivers than on male caregivers.</w:t>
      </w:r>
    </w:p>
    <w:p>
      <w:r>
        <w:t xml:space="preserve"> </w:t>
      </w:r>
    </w:p>
    <w:p>
      <w:pPr>
        <w:pStyle w:val="Heading2"/>
      </w:pPr>
      <w:r>
        <w:t>Related Work</w:t>
      </w:r>
    </w:p>
    <w:p>
      <w:r>
        <w:t>Existing research on unpaid eldercare and gender norms uses cross-sectional surveys, qualitative studies, and small-scale experiments. Measurement work has used self-report scales, vignettes, list experiments, and incentivized allocation tasks to capture norms and altruism. Identification strategies in prior studies rely mainly on between-community comparisons, instrumental variables from policy timing, or single-site interventions. Key limitations remain: many studies are cross-sectional so they cannot separate norms causing behavior from selection of people into communities with certain norms (reverse causality); measurement approaches often lack formal invariance testing across gender, language, or region, so comparisons may be biased; social-desirability distorts direct self-reports and few studies triangulate multiple modalities; administrative quasi-experiments are underused and when used their exclusion restrictions are not always pre-specified; non-resident caregiver contributions (remittances, visits) are frequently missing; and many analyses ignore spatial dependence and multilevel clustering, reducing causal credibility and external validity.</w:t>
      </w:r>
    </w:p>
    <w:p>
      <w:r>
        <w:t xml:space="preserve"> </w:t>
      </w:r>
    </w:p>
    <w:p>
      <w:pPr>
        <w:pStyle w:val="Heading2"/>
      </w:pPr>
      <w:r>
        <w:t>Abstract</w:t>
      </w:r>
    </w:p>
    <w:p>
      <w:r>
        <w:t>This study tests whether community gender norms that promote altruistic behavior cause differences in unpaid care given to older adults in Thailand. We combine a household panel survey with nominated phone follow-ups of non-resident adult children, validated multi-mode norm measurement (injunctive, descriptive, personal scales; randomized vignettes; list experiments; incentivized allocations), and quasi-experimental variation from staggered policy rollouts and cohort education exposure. Analytically, we use multilevel models, household fixed-effects, event-study designs, and instrumental-variable and mediation methods to estimate direct and indirect effects of norms on caregiver status and weekly care hours. The main contribution is credible, mixed-method causal evidence linking social gender norms to observable caregiving behavior and a validated measurement protocol suited for Thailand. Expected outcomes are precise estimates of norm effects by gender, validated instruments with invariance tests, and policy-relevant findings on whether shifting norms could change unpaid eldercare burden.</w:t>
      </w:r>
    </w:p>
    <w:p>
      <w:r>
        <w:t xml:space="preserve"> </w:t>
      </w:r>
    </w:p>
    <w:p>
      <w:pPr>
        <w:pStyle w:val="Heading2"/>
      </w:pPr>
      <w:r>
        <w:t>Methodology</w:t>
      </w:r>
    </w:p>
    <w:p>
      <w:r>
        <w:t>1) Sampling and design: implement a household-panel survey with baseline and at least one follow-up wave. Primary clusters are villages/muban; target pilot n≈200 across diverse sites and full study scenarios of 100–200 clusters with 15–30 eligible adults per cluster. Collect a household roster with co-resident caregivers and contact consent for nominated non-resident adult children for phone follow-ups. 2) Measurement development: create three types of norm measures: injunctive (what people should do), descriptive (what people do), and personal altruism. Use 5-point Likert items, reverse-coded items, and probes for social sanctions/rewards. Add randomized vignettes that vary caregiver gender, coresidence, elder need, and opportunity cost. Implement a list experiment (indirect counting) and a small incentivized allocation task (e.g., split ~100 THB among self, elder voucher, community fund). 3) Translation and piloting: forward-back translation, cognitive interviews across language groups, pilot n≈200 to run exploratory factor analysis (EFA) and confirmatory factor analysis (CFA). Test measurement invariance using multi-group CFA (configural, metric, scalar). 4) Field operations: program tablet instrument with randomization modules and paradata logging, train enumerators on ethics and vignette/list-experiment administration, and collect non-resident phone modules on remittances, visits, and time transfers. 5) Analysis methods: compute cluster-level norm aggregates using empirical Bayes shrinkage (this reduces noise in small clusters). Estimate multilevel mixed models (individuals nested in households nested in clusters) with random intercepts and random slopes for caregiver gender. Use household fixed-effects and cross-lag models where possible to address time-invariant confounders. For quasi-experiments use event-study/DID and IVs from staggered Old-Age Allowance or education cohort exposure with pre-specified exclusion tests and placebo outcomes. For mediation, use causal mediation methods (Imai-style) to estimate direct and indirect effects and report sensitivity parameters that quantify how robust mediation is to unobserved confounding. 6) Measurement validation: run graded-response IRT for ordinal items, test differential item functioning (DIF), report reliability (omega) and item characteristic curves. 7) Spatial dependence: compute Moran's I for norm measures and add spatially weighted norm terms or spatial error/lags to multilevel models when needed. 8) Pre-registration: pre-register primary outcomes, covariates, IV logic, event windows, and main models after pilot.</w:t>
      </w:r>
    </w:p>
    <w:p>
      <w:r>
        <w:t xml:space="preserve"> </w:t>
      </w:r>
    </w:p>
    <w:p>
      <w:pPr>
        <w:pStyle w:val="Heading2"/>
      </w:pPr>
      <w:r>
        <w:t>Experiments</w:t>
      </w:r>
    </w:p>
    <w:p>
      <w:r>
        <w:t>1) Data collection: Pilot survey n≈200 across 4 diverse sites (urban/rural, major language groups) to validate measures. Full study scenarios: A) 100 clusters × 20 respondents (n≈2,000); B) 150×20 (n≈3,000); C) 200×20 (n≈4,000). Non-resident phone follow-ups for nominated adults at baseline and follow-up. 2) Baselines for estimation: (i) OLS/GLM on pooled cross-section; (ii) individual/household fixed-effects models; (iii) three-level mixed models (individuals within households within clusters) with random intercepts and random slopes for gender; (iv) event-study/DID for staggered policy rollouts; (v) IV estimates using district/tambon timing of Old-Age Allowance or historical schooling exposure. 3) Measurement baselines: compare direct self-report norms (baseline) to list-experiment, randomized-response, vignette outcomes, and incentivized allocation behavior. Ablation study: remove each modality in turn to assess influence on estimated norm effect (four arms: self-report only; self-report + vignettes; self-report + list/RRT; full multi-mode). 4) Evaluation metrics: primary effect size is coefficient on community norm aggregate predicting weekly unpaid care hours (continuous) and caregiver status (binary). Report standardized beta (effect in standard deviations), risk differences for binary outcomes, 95% confidence intervals, p-values (threshold p&lt;0.05), and cluster-robust standard errors. Report percent mediated for mediation models, sensitivity parameter rho for mediator-outcome confounding, E-values for robustness. Report measurement metrics: omega reliability (&gt;0.7 target), CFA fit indices (CFI&gt;0.95, RMSEA&lt;0.06 target), DIF p-values and item parameter shifts. Report ICC for norm aggregates. 5) Power and simulation: run Monte Carlo simulations (≥1000 reps) for each cluster scenario varying ICC in {0.02,0.05,0.08} and attrition in {10%,20%,30%} to compute minimum detectable standardized interaction effect for norms×gender. 6) Model diagnostics and falsification: run placebo outcomes (agricultural yields, child immunization rates) expecting null effects; perform pre-trend tests in event-studies (leads −5 to −1). 7) Software and reproducibility: implement analyses in R using packages for multilevel models (lme4 or brms), CFA/IRT (lavaan, mirt), mediation (mediation), multiple imputation (mice). Release code and de-identified data per governance rules after Thai partner review. 8) Comparison: explicitly compare IV vs FE vs multilevel estimates; report consistency and discuss divergence.</w:t>
      </w:r>
    </w:p>
    <w:p>
      <w:r>
        <w:t xml:space="preserve"> </w:t>
      </w:r>
    </w:p>
    <w:p>
      <w:pPr>
        <w:pStyle w:val="Heading2"/>
      </w:pPr>
      <w:r>
        <w:t>Risk Factors And Limitations</w:t>
      </w:r>
    </w:p>
    <w:p>
      <w:r>
        <w:t>1) Causal identification may fail if IV exclusion restrictions are violated (policy timing may affect care via income, not only norms). 2) Reverse causality and selection: people who provide care may shape local norms, complicating interpretation of norm→care estimates. 3) Measurement failure: items may not be invariant across gender, language, or region, making comparisons invalid. 4) Social-desirability bias: direct measures may still be biased even after list/vignette methods. 5) Low-prevalence subgroups: male unpaid caregivers or some ethnic groups may be rare, reducing power for subgroup tests. 6) Attrition: panel drop-out, especially among non-resident follow-ups, may bias longitudinal estimates. 7) Administrative data delays: obtaining cleaned rollout or cohort data may take months, reducing quasi-experiment feasibility. 8) Spatial spillovers: norms may diffuse across cluster boundaries causing misestimation of community effects. 9) Resource and scalability limits: high cluster counts and repeated follow-ups increase cost and field complexity. 10) Generalization: findings may be specific to Thailand's cultural, policy, and demographic context and not directly transferable to other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