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fta_fisheries_mtl_did_psm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the causal impact of free trade agreements with fisheries provisions on marine mean trophic level using difference-in-differences combined with propensity score matching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Entry-into-force of a free trade agreement that includes fisheries-related provisions causes a decline in catch-weighted mean trophic level (MTL) within the signatory country's marine catches within ten years post-treatment.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empirical work links trade liberalization and treaty provisions to fisheries outcomes using cross-sectional regressions, panel fixed-effects, and case studies. Studies using aggregate catch indicators often suffer from selection bias (countries that sign treaties differ systematically), time-varying confounders, and spatial spillovers. Standard TWFE (two-way fixed effects) DID approaches can be biased under staggered adoption and heterogeneous treatment effects. Existing legal-coding efforts capture provision presence but often omit bindingness/enforcement depth. Measurement of trophic change is sensitive to catch reconstructions and unreported removals; few studies jointly address measurement error, instrument selection, and spatial interference. Limitations include weak identification strategies against unobserved time-varying confounders, insufficient mediation analysis linking trade flows to ecological change, and lack of reproducible pipelines integrating treaty text coding with ecological and AIS/trade mediators.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signing free trade agreements (FTAs) that include fisheries-related provisions causally alters marine sustainability as measured by mean trophic level (MTL). We combine propensity score matching (PSM) to improve covariate balance with modern difference-in-differences (DID) estimators suitable for staggered adoption to estimate average treatment effects on the treated (ATT). Primary outcome is catch-weighted MTL (Sea Around Us) for 1950–2018; treatment is entry-into-force of FTAs coded for fisheries provisions and enforcement depth. We integrate spatial tests for cross-border spillovers, instrumental-variable checks for timing endogeneity, synthetic-control case studies for key adopters, and measurement-error corrections (SIMEX and Monte Carlo reconstructions) to bound results. Mediation analysis uses species-level COMTRADE mappings and AIS effort to test pathways from trade provisions to ecological change. The contribution is a preregistered, reproducible causal pipeline that triangulates multiple identification strategies and quantifies uncertainty from legal coding, catch reconstructions, and spatial interference to inform policy on trade-linked fisheries sustainability.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1. Data assembly: collect Sea Around Us and FAO catch time series (1950–2018), COMTRADE trade flows, treaty-text dataset (1947–2018) with coded fisheries provisions, Global Fishing Watch AIS effort, RFMO activity logs, RAM/ICES stock quality flags, and country covariates (GDP, governance, fisheries export dependence). Harmonize geographies to ISO3 and EEZ IDs. 2. Primary outcomes: compute four MTL variants: catch-weighted (primary), species-count MTL, MTL excluding aquaculture/IUU-adjusted, and high-quality-species MTL. 3. Treatment definition: primary treatment = entry-into-force year of an FTA containing fisheries provisions; also compute continuous treaty-depth/enforcement index using coded bindingness, specificity, and enforcement mechanisms. 4. Matching: estimate propensity scores with logistic regression (primary) and GBM (robustness) using pre-treatment covariates (pre-MTL level &amp; trend, catch composition by trophic group, total catch, gear shares, fleet effort, SST trend/ENSO exposure, primary productivity, MPA coverage, fisheries export dependence, GDPpc, governance, prior treaties, colonial/distance controls). Match treated to controls via nearest-neighbor with replacement and caliper = 0.2*SD(logit). Diagnostic thresholds: standardized mean differences (SMD) &lt;0.10 post-match. 5. DID estimation: apply Callaway–Sant’Anna group-time ATT estimator and Sun–Abraham event-study for dynamics on matched sample; include country and year fixed effects and time-varying covariates. Produce lead coefficients −10 to −1 and lags 1 to 10. 6. Spatial interference: construct neighbor-treatment measures (contiguous EEZ area-weighted treated-share and inverse-distance decay) and estimate spatial models (spatial lag / SAR, Spatial Durbin) and DID with spatially lagged treatment. 7. IV and robustness: assemble candidate instruments (sudden third-party market-access shocks, GSP withdrawals, WTO accession timing); report first-stage F, AR/CLE, Hansen/Sargan, and Conley-bounds sensitivity. 8. Synthetic control: run SCM for major adopter cases and generalized SCM/matrix-completion for staggered adoption as triangulation. 9. Measurement error: run SIMEX and Bayesian measurement-error corrections using FAO vs Sea Around Us reconstructions; Monte Carlo IUU adjustments to bound MTL. 10. Mediation: map COMTRADE HS codes probabilistically to species groups; run Imai causal mediation with Monte Carlo draws (≥500) to propagate mapping uncertainty; test AIS effort and RFMO enforcement as mediators. 11. Inference and multiplicity: cluster SEs at country, use wild-cluster bootstrap if few clusters, apply Conley spatial HAC for spatial correlation, and control multiple testing with FDR. 12. Reproducibility: version-controlled repo, Docker container, Snakemake pipeline, and public release of code, sample hand-coded treaties, and data provenance.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Sea Around Us (catch and MTL), FAO catch series, treaty-text dataset (1947–2018) with fisheries provision codes, COMTRADE trade flows, Global Fishing Watch AIS vessel-days, RFMO logs, RAM/ICES stock lists, World Bank governance/GDP, SST/primary productivity. Time span: 1950–2018; unit: country-EEZ-year. Baselines: (A) TWFE DID without matching, (B) PSM-only (matched cross-sectional difference), (C) DID on unmatched sample with country trends, (D) Synthetic control (SCM) for selected single-adopter cases, (E) IV-DID using candidate instruments. Primary specification: PSM (logit) nearest-neighbor with replacement (caliper 0.2*SD), then Callaway–Sant’Anna DID on matched sample; primary outcome = catch-weighted MTL (Sea Around Us). Evaluation metrics: ATT estimates and 95% CIs, pre-trend p-values (joint test), SMDs for balance, first-stage F-statistics for IVs, Anderson-Rubin p-values, placebo distributions from in-space SCM, MDE table under clustered SEs, mediation effect sizes with central 90% intervals, and sensitivity metrics from SIMEX and Conley-bounds. Experimental setup: pre-register sample inclusion, primary treatment = entry-into-force, leads −10 to −1 and lags +1 to +10 for event-study. Inference: cluster SEs at country; if clusters &lt;50 use wild-cluster bootstrap. Ablation studies: (1) remove treaty-depth index (binary FTA only) vs include continuous depth index; (2) exclude neighbor-treatment controls vs include spatial lag; (3) matching by logit vs GBM vs entropy balancing; (4) measurement-error correction off vs SIMEX/Bayesian on; (5) mediation analysis with deterministic COMTRADE mapping vs Monte Carlo probabilistic mapping (≥500 draws). SCM comparison: SCM and generalized SCM for Chile, Norway, and Peru, with in-space placebo tests. All model seeds, inputs, and outputs saved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1. Selection on unobservables: PSM and DID reduce confounding but cannot fully eliminate bias from time-varying unobserved factors correlated with both FTA timing and MTL. 2. Weak or invalid IVs: candidate instruments may fail exclusion restrictions or be weak, producing unreliable IV estimates. 3. Measurement error: catch reconstructions, IUU, and reporting changes can bias MTL; SIMEX and reconstructions bound but do not eliminate uncertainty. 4. COMTRADE-to-species mapping uncertainty: ambiguous HS codes may misallocate trade flows; Monte Carlo helps but residual error remains. 5. Spillovers and interference: cross-border fishing and RFMO interactions can invalidate SUTVA; spatial models assume correctly specified neighborhood definitions. 6. Treatment overlap and timing complexity: countries with multiple/serial FTAs complicate binary treatment definitions and may require dose–response interpretation. 7. Limited power: clustered structure and small number of treated clusters for some subgroups may yield large minimum detectable effects. 8. Data gaps and heterogeneity: AIS and RFMO enforcement data vary by region; results may not generalize to poorly monitored EEZs. 9. Computational cost: SCM, Monte Carlo mapping (≥500 draws), spatial econometrics, and SIMEX are compute-intensive. 10. Causal mediation assumptions: sequential ignorability may be violated, limiting interpretation of mediation estimates.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