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modularity_data_quant</w:t>
      </w:r>
    </w:p>
    <w:p>
      <w:r>
        <w:t xml:space="preserve"> </w:t>
      </w:r>
    </w:p>
    <w:p>
      <w:pPr>
        <w:pStyle w:val="Heading2"/>
      </w:pPr>
      <w:r>
        <w:t>Title</w:t>
      </w:r>
    </w:p>
    <w:p>
      <w:r>
        <w:t>A data-governance and causal-inference framework to quantify modularity effects in product families under industrial data constraints</w:t>
      </w:r>
    </w:p>
    <w:p>
      <w:r>
        <w:t xml:space="preserve"> </w:t>
      </w:r>
    </w:p>
    <w:p>
      <w:pPr>
        <w:pStyle w:val="Heading2"/>
      </w:pPr>
      <w:r>
        <w:t>Short Hypothesis</w:t>
      </w:r>
    </w:p>
    <w:p>
      <w:r>
        <w:t>Improving module-level data provenance, entity reconciliation, and uncertainty-aware imputation will reduce bias and uncertainty in estimated modularity effects, enabling detection of a 5% change in cost-per-variant with specified statistical power in pilot product families.</w:t>
      </w:r>
    </w:p>
    <w:p>
      <w:r>
        <w:t xml:space="preserve"> </w:t>
      </w:r>
    </w:p>
    <w:p>
      <w:pPr>
        <w:pStyle w:val="Heading2"/>
      </w:pPr>
      <w:r>
        <w:t>Related Work</w:t>
      </w:r>
    </w:p>
    <w:p>
      <w:r>
        <w:t>Prior work connects modular product design to benefits like reuse, lower lead time, and environmental gains, and has proposed conceptual KPIs and simulation studies. Existing empirical approaches often rely on aggregated accounting, ad hoc BOM reconciliations, or deterministic record linkage. Gaps include: (1) weak handling of heterogeneous industrial sources (CAD/PLM/ERP/MES/LCA) and missing provenance, (2) brittle entity resolution across variant/part identifiers, (3) simple imputation or ignoring imputation uncertainty, (4) causal analyses that ignore staggered adoption, serial correlation, and pre-treatment trend tests, and (5) insufficient integration of accounting realities (pooled overheads, accruals). These limitations cause biased or non-reproducible estimates of modularity effects and impede auditability and cross-company benchmarking.</w:t>
      </w:r>
    </w:p>
    <w:p>
      <w:r>
        <w:t xml:space="preserve"> </w:t>
      </w:r>
    </w:p>
    <w:p>
      <w:pPr>
        <w:pStyle w:val="Heading2"/>
      </w:pPr>
      <w:r>
        <w:t>Abstract</w:t>
      </w:r>
    </w:p>
    <w:p>
      <w:r>
        <w:t>Quantifying the effects of modularity in product families is hampered by poor data quality, inconsistent identifiers, pooled accounting, and ad hoc analysis that neglects uncertainty. We propose a practical framework combining a module-centric canonical schema, event-sourced provenance, probabilistic entity resolution, and Bayesian multiple imputation to create traceable, uncertainty-aware module datasets. These datasets feed pre-registered causal analyses using difference-in-differences and synthetic controls that explicitly account for staggered adoption and serial correlation. The main contribution is an end-to-end, reproducible pipeline that links CAD/PLM, ERP/GL, MES, and external LCA sources into auditable KPIs (cost-per-variant, part reuse, LCA per function) with calibrated uncertainty and data-quality scores. Expected outcomes are reproducible effect estimates with documented provenance, improved detection power for modest effects (e.g., 5% cost changes), validated DataQualityScore definitions, and public synthetic benchmarks and reproducible notebooks to accelerate industrial pilots.</w:t>
      </w:r>
    </w:p>
    <w:p>
      <w:r>
        <w:t xml:space="preserve"> </w:t>
      </w:r>
    </w:p>
    <w:p>
      <w:pPr>
        <w:pStyle w:val="Heading2"/>
      </w:pPr>
      <w:r>
        <w:t>Methodology</w:t>
      </w:r>
    </w:p>
    <w:p>
      <w:r>
        <w:t>1) Canonical schema and provenance: define a module-centric ontology with ModuleID (GUID), VariantID, PartID, EBOM/MBOM links, interfaces, lifecycle stage, unit cost, weight, LCA fields, source system and ProvenanceURI. Use event-sourcing to store change events and materialized snapshots. 2) Data ingestion: extract structured exports from CAD/PLM (STEP/AP242), ERP/GL, MES, and LCA tables into a mediated layer that maps fields to the canonical schema. Persist raw extracts and CDC logs. 3) Entity reconciliation: apply probabilistic record linkage that scores candidate matches and outputs precision/recall estimates; include deterministic rules for exact GUID matches and learned embedding models for fuzzy matches. 4) Imputation and uncertainty: implement Bayesian hierarchical multiple imputation (MI) for missing numeric and categorical module attributes. MI models use observed covariates (part counts, interface counts, variant volumes, material codes) and produce posterior draws. Record model version, priors, and seeds in provenance. 5) Accounting mapping: map GL transactions to PartID/ModuleID via MBOM rules, driver formulas (labor hours, machine hours), and store allocation keys with provenance. For pooled overhead, create parallel allocations and sensitivity bounds. 6) Causal analysis: pre-register estimands (ATT, ATE), define treatment timing, and run DiD with two-way fixed effects corrections for staggered adoption or use recent estimators robust to heterogeneous timing; complement with synthetic control when suitable. Incorporate imputation draws into causal model to propagate uncertainty (Rubin's rules or full Bayesian joint model). 7) DataQualityScore: compute per-entity completeness, accuracy (audit error rate), timeliness, consistency, and traceability; combine with weighted sum; store calibration results. 8) Outputs: produce KPI tables with confidence/credible intervals, provenance pointers, and validation reports. 9) Reproducibility: package pipeline as containerized notebook that runs on synthetic benchmark data and creates an immutable snapshot for audit.</w:t>
      </w:r>
    </w:p>
    <w:p>
      <w:r>
        <w:t xml:space="preserve"> </w:t>
      </w:r>
    </w:p>
    <w:p>
      <w:pPr>
        <w:pStyle w:val="Heading2"/>
      </w:pPr>
      <w:r>
        <w:t>Experiments</w:t>
      </w:r>
    </w:p>
    <w:p>
      <w:r>
        <w:t>Datasets: (A) Public synthetic benchmark dataset created to mirror CAD/PLM/ERP/MES/LCA heterogeneity; (B) Pilot industrial dataset from one product family with before/after modular intervention + matched control family; include held-out audit sample of 50-100 records for ground truth. Baselines: (1) aggregated GL costing with deterministic BOM mapping; (2) deterministic linkage + single imputation (mean/mode); (3) DiD without imputation uncertainty. Proposed method: probabilistic linkage + Bayesian MI + provenance + DiD/synthetic control with uncertainty propagation. Evaluation metrics: bias of estimated modularity effect (difference to audit-backed ground truth), mean squared error (MSE), 95% credible/CI coverage (should match nominal), precision/recall/F1 for entity resolution, calibration (Brier score) for probabilistic links, DataQualityScore calibration (correlation with audit error rates), KPI reproducibility (ability to reproduce KPI from stored snapshot), and statistical power to detect 5% relative change in cost-per-variant. Experimental setup: 1) Entity-resolution ablation: compare probabilistic linkage vs deterministic rules; measure precision/recall on held-out labeled pairs. 2) Imputation ablation: compare Bayesian hierarchical MI vs MICE (multiple imputation by chained equations) vs single imputation; evaluate CI coverage and bias on held-out missingness simulated under MAR and MNAR patterns. 3) Causal design ablation: run standard two-way DiD, DiD with heterogenous-timing-robust estimator, and synthetic control; report point estimates, CIs, placebo tests, and pre-trend tests. 4) Sensitivity analyses: vary overhead allocation rules and report effect changes; report pooled vs disaggregated accounting outcomes. 5) Power simulation: use observed variance components and ICC from pilot to compute required variant-period N to achieve 80% power to detect 5% change; run Monte Carlo with serial correlation. 6) Reproducibility test: run full pipeline from raw extracts to KPI on synthetic data and verify notebook reproduces published KPIs using immutable snapshot. Deliver outputs: evaluation tables, calibration plots, ROC/PR for linkage, coverage tables, and power curves.</w:t>
      </w:r>
    </w:p>
    <w:p>
      <w:r>
        <w:t xml:space="preserve"> </w:t>
      </w:r>
    </w:p>
    <w:p>
      <w:pPr>
        <w:pStyle w:val="Heading2"/>
      </w:pPr>
      <w:r>
        <w:t>Risk Factors And Limitations</w:t>
      </w:r>
    </w:p>
    <w:p>
      <w:r>
        <w:t>1) Data access: limited or missing ERP/GL detail, PLM exports, or MES logs can prevent mapping and increase missingness. 2) Non-random missingness: data missing not at random (MNAR) can bias imputations and causal estimates. 3) Entity-resolution errors: false merges or splits can create large attribution errors; high-precision thresholds may reduce recall. 4) Accounting complexity: pooled overheads, accruals, capitalized costs, and month-end adjustments may not be resolvable, limiting cost attribution fidelity. 5) Causal identification: time-varying confounders or policy changes concurrent with modular interventions can invalidate DiD assumptions. 6) Small sample sizes: product families with low variant counts or short histories may be underpowered. 7) Computation and storage: Bayesian MI and large probabilistic linkage scale with records and may need substantial compute. 8) Generalization: methods tuned to one company or family may not transfer without retuning ontologies and linkage models. 9) Legal/privacy constraints: inability to share microdata may limit external validation and federated analyses add complexity. 10) Audit burden: held-out manual audits required for calibration impose time and cost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