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shrinkflation_japan_measurement_iv_smm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impact of shrinkflation on Japan's inflation measurement using IV identification, hedonic adjustments, OCR/CV detection, and SMM structural aggregation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Category-specific increases in commodity input costs and exchange-rate depreciations cause an increase in the probability and intensity of package-size reductions (shrinkflation) by firms in Japan within six months, leading to upward bias in official CPI if unit-size changes are not adjusted.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documents shrinkflation as a producer strategy in response to cost pressures and highlights measurement challenges for CPI. Prior approaches use matched-model indices, unit-values, or ad-hoc hedonic adjustments. Limitations include weak causal identification (few instruments or inadequate falsification), incomplete propagation of OCR/CV measurement error into CPI estimates, sparse operational rules for SKU continuity and promotions, and little integration between behavioral evidence and scanner-based measurement. Structural models (menu-cost, multi-product firms) exist but are rarely calibrated to micro pack-change frequencies or used to produce a shrinkflation-adjusted CPI. Cross-country harmonization of GTIN and unit conversions is underdeveloped, reducing comparability. Experimental evidence linking consumer detection to revealed purchases is limited, leaving threshold calibration and communication effects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measures and identifies the causal role of shrinkflation in Japan and produces an operational shrinkflation-adjusted CPI. We combine micro scanner data, e-commerce crawls, manufacturer pack-change logs, and household panels with OCR/CV extraction of package attributes to detect size changes. Identification uses instruments such as category-specific commodity spot prices, JPY exchange-rate shocks, and exogenous retailer disruptions; we pre-register event-study windows, placebo tests, and lead/lag checks. Measurement employs unit-price series (yen per gram/mL), regularized hedonic models, and Bayesian hierarchical pooling to adjust for attribute changes. A structural Simulated Method of Moments (SMM) firm model links micro pack-size decisions to macro inflation, producing counterfactuals. Experiments (lab and online) test consumer detection thresholds and labeling interventions to calibrate behavioral inputs. Main contributions: a validated causal estimate of cost-driven shrinkflation, a reproducible OCR-aware measurement pipeline, and a shrinkflation-adjusted CPI with uncertainty bands suitable for NSO use.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collect item-level scanner prices, quantities, UPC/GTIN, e-commerce snapshots, manufacturer pack-change logs, and household scanner panels. 2) OCR/CV extraction: build a pipeline to read net weight/volume and label attributes from product images; attach a confidence score to each extraction. 3) Detection rules: compute unit-price (yen/gram or mL); flag size drops at candidate thresholds 3%, 5%, 10%; attach OCR confidence and route low-confidence flags to human review. 4) Hedonic adjustment: estimate price = f(attributes) using LASSO/Elastic Net for variable selection and Bayesian hierarchical models to pool across brands/categories; interpret hedonic coefficients as quality adjustments when UPC changes. 5) Identification: instrument shrink-intensity with commodity spot prices, JPY shocks, and retailer disruptions; pre-register first-stage and exclusion restrictions; run IV-GMM and IV-Quantile, report Kleibergen-Paap and Hansen tests. 6) Structural SMM: specify multi-product firm model where firms choose nominal price and package size under menu costs and attention frictions; simulate moments (frequency of size changes, unit-price drift, shares) and estimate parameters by minimizing moment distance. 7) Uncertainty propagation: incorporate OCR/CV error via OCR-aware bootstrap that resamples extraction errors, and compare with explicit measurement-error models and deconvolution. 8) Experiments: pre-register lab/online treatments for size-change magnitudes and labeling formats and link experimental estimates of detection rates to scanner validation subsamples. 9) Reproducibility: release pre-registration, synthetic data generator, and version-controlled code.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national retailer scanner panels in Japan (item-level prices, quantities, GTIN), e-commerce snapshots with images, manufacturer pack-change logs, household scanner panel subset linked by anonymized IDs, and recruited online lab panels. Baselines: (A) official CPI without shrink adjustment, (B) unit-value only adjustment, (C) hedonic-only adjustment, (D) hybrid unit-value + hedonic. Evaluation metrics: detection ROC, precision, recall, Type I/II error rates, false discovery rate, bias in aggregated CPI (difference vs shrinkflation-adjusted CPI), RMSE of predicted inflation moments, first-stage F-statistics, Kleibergen-Paap, Hansen J, and confidence/credible intervals that incorporate OCR error. Setup: 1) Detection evaluation: run OCR/CV pipeline, flag events at τ={3,5,10}%, sample stratified manual validation N&gt;=500, compute ROC and FDR. 2) Identification: estimate IV-GMM for ΔUnitPrice with instruments (commodity spot, JPY shock, retailer disruption) using timing windows 0–3, 3–6, 6–12 months; report IV-Quantile for heterogeneity. 3) Hedonic and ablation: fit LASSO/Elastic Net hedonic and Bayesian hierarchical models; ablate attribute groups (packaging, nutrition, formulation) to assess sensitivity. 4) Measurement-error ablation: compare three pipelines—OCR-aware bootstrap, explicit measurement-error regression, and deconvolution—and report downstream CPI bias bands. 5) Structural estimation: calibrate SMM to match observed moments; perform counterfactuals (no-shrink, disclosure policy). 6) Behavioral linkage: run online experiments with n&gt;=1,000 per arm varying size reduction (3/5/10%) and labeling; link detected behavioral MDEs to revealed switching using household panel subset (~10,000 transactions).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access: restricted scanner or manufacturer logs can limit representativeness and block matching across sources. 2) Instrument validity: commodity spot prices and retailer disruptions may violate exclusion restrictions if they affect demand; weak instruments reduce causal power. 3) OCR/CV errors: mis-extraction of size causes false flags; high error rates increase uncertainty and may bias unit-values. 4) SKU continuity: GTIN changes, rebranding, or private-label shifts complicate continuity rules and can misclassify quality changes. 5) Promotions and bundling: temporary discounts and multi-packs can confound unit-price measures if not precisely coded. 6) Behavioral linkage: online lab results may not generalize to real purchases; panel attrition undermines revealed-linkage. 7) Computational cost: SMM and Bayesian hierarchical estimation with large scanner panels require substantial compute and tuning. 8) Strategic firm behavior: firms may game detection rules (micro-label tweaks), reducing external validity of pre-registered thresholds. 9) Cross-country harmonization: GTIN gaps and packaging conventions limit comparability outside Japan.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