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age_household_inequality_cee</w:t>
      </w:r>
    </w:p>
    <w:p>
      <w:r>
        <w:t xml:space="preserve"> </w:t>
      </w:r>
    </w:p>
    <w:p>
      <w:pPr>
        <w:pStyle w:val="Heading2"/>
      </w:pPr>
      <w:r>
        <w:t>Title</w:t>
      </w:r>
    </w:p>
    <w:p>
      <w:r>
        <w:t>Counterfactual decomposition and mediation of income inequality by age and household type in Central and Eastern Europe using EU-SILC (2005–2022)</w:t>
      </w:r>
    </w:p>
    <w:p>
      <w:r>
        <w:t xml:space="preserve"> </w:t>
      </w:r>
    </w:p>
    <w:p>
      <w:pPr>
        <w:pStyle w:val="Heading2"/>
      </w:pPr>
      <w:r>
        <w:t>Short Hypothesis</w:t>
      </w:r>
    </w:p>
    <w:p>
      <w:r>
        <w:t>An increase in the share of elderly-headed households between 2005 and 2022 causally increases national equivalised disposable income inequality (Gini) via compositional shifts and household-level mechanisms, with larger effects in liberal post-socialist states than in corporatist ones.</w:t>
      </w:r>
    </w:p>
    <w:p>
      <w:r>
        <w:t xml:space="preserve"> </w:t>
      </w:r>
    </w:p>
    <w:p>
      <w:pPr>
        <w:pStyle w:val="Heading2"/>
      </w:pPr>
      <w:r>
        <w:t>Related Work</w:t>
      </w:r>
    </w:p>
    <w:p>
      <w:r>
        <w:t>Existing studies use decomposition methods and cross-country comparisons to link demographic change and inequality, and some examine household composition effects using survey data like EU-SILC. Common methods include Oaxaca-Blinder style decompositions, age-group inequality trends, and welfare-regime typologies. Limitations in prior work are: 1) often cross-sectional or descriptive without counterfactual decomposition that cleanly separates compositional versus within-age income changes; 2) limited treatment of household-type heterogeneity (elderly-headed vs multigenerational) and intra-household transfers/care as mediators; 3) inadequate handling of top-income undercoverage (rare systematic Pareto adjustments benchmarked to tax data); 4) weak treatment of survey design, selective migration/mortality, and pre-registration of estimands; and 5) few robust quasi-experimental or IV mediation implementations across multiple CEE countries.</w:t>
      </w:r>
    </w:p>
    <w:p>
      <w:r>
        <w:t xml:space="preserve"> </w:t>
      </w:r>
    </w:p>
    <w:p>
      <w:pPr>
        <w:pStyle w:val="Heading2"/>
      </w:pPr>
      <w:r>
        <w:t>Abstract</w:t>
      </w:r>
    </w:p>
    <w:p>
      <w:r>
        <w:t>This study examines how demographic aging altered income inequality across age groups and household types in Central and Eastern Europe between 2005 and 2022. Using harmonized EU-SILC microdata, we quantify how much of observed inequality change is due to compositional shifts in age and household structure versus changes within age groups. We implement counterfactual reweighting and Shapley decompositions to allocate absolute and relative contributions, apply Pareto tail fitting and administrative benchmarks to correct top-income bias, and estimate mediation by neo-familial mechanisms (co-residence, private transfers, informal care) using parametric g-computation with TMLE robustness checks. We compare effects across a time-varying welfare typology (continuous index of pension, family, and long-term care policies) to test whether liberal versus corporatist post-socialist states experience different aging–inequality dynamics. Expected outcomes are transparent, preregistered estimands, estimates of compositional versus within-age drivers, and quantified mediated pathways that inform policy on intergenerational support and pension/family reforms.</w:t>
      </w:r>
    </w:p>
    <w:p>
      <w:r>
        <w:t xml:space="preserve"> </w:t>
      </w:r>
    </w:p>
    <w:p>
      <w:pPr>
        <w:pStyle w:val="Heading2"/>
      </w:pPr>
      <w:r>
        <w:t>Methodology</w:t>
      </w:r>
    </w:p>
    <w:p>
      <w:r>
        <w:t>1) Data harmonization: pool EU-SILC cross-sectional microdata for selected CEE countries 2005–2022; compute equivalised disposable income (OECD-modified scale) and apply PPP. Define age groups (e.g., 0–49, 50–64, 65+) and household types from roster (elderly single, elderly couple, multigenerational with/without working members). 2) Inequality metrics: compute Gini, Theil, S80/S20, and elderly poverty gap per country-year-age-household cell. 3) Counterfactual decomposition: implement counterfactual reweighting to create two estimands — compositional effect (change due to age/household composition) and within-age effect (change due to age-specific income distributions) — and compute Shapley decompositions to attribute contributions. Counterfactual reweighting means reweighting 2022 observations to match 2005 age/household shares or vice versa. 4) Mediation: predefine ordered mediators co-residence → private transfers → informal care. Estimate natural direct and indirect effects using parametric g-computation (explicit models for outcome and mediators), and run TMLE as robustness. 5) Quasi-experimental checks: map candidate discrete reforms (e.g., pension pillar reversals, major family benefit reforms, emigration shocks), run staggered DiD/event-study and synthetic control when a dominant reform exists; report pre-trend tests and placebo checks. 6) Top-income correction: fit Pareto tail (choose threshold via stability plot; estimate tail index by MLE), scale tail mass to administrative top-share if compatible; report unadjusted, Pareto-adjusted, and admin-benchmarked versions. 7) Missing data and design: run multiple imputation (chained equations, 20 draws) for item-missing values and flag mediator availability by country-year; use cluster bootstrap (≥1,000 reps) at PSU or country×PSU to obtain CIs and propagate MI draws through decompositions and mediation. 8) Controls: include net migration, age-specific emigration, cohort mortality, macro shocks, and country-year welfare-index; conduct sensitivity and robustness grids for key assumptions.</w:t>
      </w:r>
    </w:p>
    <w:p>
      <w:r>
        <w:t xml:space="preserve"> </w:t>
      </w:r>
    </w:p>
    <w:p>
      <w:pPr>
        <w:pStyle w:val="Heading2"/>
      </w:pPr>
      <w:r>
        <w:t>Experiments</w:t>
      </w:r>
    </w:p>
    <w:p>
      <w:r>
        <w:t>Datasets: pooled EU-SILC microdata for selected CEE countries (2005–2022); administrative/top-share data from WID or national tax sources when available; policy event database (country, year, reform type). Baselines: (A) unadjusted Gini decomposition; (B) Pareto-adjusted without admin benchmark; (C) Pareto-adjusted with admin benchmark (when available); (D) models without mediators. Evaluation metrics: change in Gini (absolute and percent), Shapley contribution shares, Theil decomposition components, elderly poverty gap, bootstrap 95% confidence intervals, and falsification test p-values. Experimental setup: 1) Anchor comparison: compute decompositions for 2005 vs 2022 and full-period trends. 2) Counterfactual estimands: estimate compositional and within-age effects via reweighting; report point estimates and bootstrapped CIs (≥1,000 reps). 3) Mediation: estimate natural direct/indirect effects with g-computation and TMLE; propagate MI and bootstrap. 4) Quasi-experimental evaluation: for each coded policy event run staggered DiD/event-study and synthetic control (pre-register donor pool inclusion/exclusion rules and covariates). 5) Ablation studies: (i) exclude Pareto adjustment, (ii) omit migration/mortality controls, (iii) omit mediators, (iv) use clustered vs continuous welfare typology. 6) Reporting thresholds: minimum analytic cell size = 200; if below, pool with hierarchical model and report shrinkage estimates. 7) Diagnostics: pre-trend checks, placebo outcomes, tail-fit stability plots, and mediator measurement-error sensitivity grid.</w:t>
      </w:r>
    </w:p>
    <w:p>
      <w:r>
        <w:t xml:space="preserve"> </w:t>
      </w:r>
    </w:p>
    <w:p>
      <w:pPr>
        <w:pStyle w:val="Heading2"/>
      </w:pPr>
      <w:r>
        <w:t>Risk Factors And Limitations</w:t>
      </w:r>
    </w:p>
    <w:p>
      <w:r>
        <w:t>1) Top-income undercoverage: EU-SILC misses top incomes; administrative benchmark may be unavailable or incompatible, limiting tail correction validity. 2) Mediator measurement error: private transfers and informal care are often missing or proxy-based, causing attenuation bias. 3) Selective migration and mortality: differential emigration and death can bias compositional estimates if not fully observed. 4) Small cells: some country×age×household cells have low sample sizes, reducing precision and requiring pooling that limits country-specific claims. 5) Survey design complexity: integrating strata/PSU/replicate weights with DiD, synthetic control, and TMLE is technically challenging and may affect variance estimates. 6) Identification assumptions: sequential ignorability for mediation and exclusion restrictions for instruments may not hold, limiting causal interpretation. 7) Computational cost: bootstrap + multiple imputation + synthetic controls across many countries is compute-intensive. 8) Generalizability: results apply to studied CEE countries and period (2005–2022) and may not transfer to other regions or timeframes.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