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organic_innov_survey_bws_lca</w:t>
      </w:r>
    </w:p>
    <w:p>
      <w:r>
        <w:t xml:space="preserve"> </w:t>
      </w:r>
    </w:p>
    <w:p>
      <w:pPr>
        <w:pStyle w:val="Heading2"/>
      </w:pPr>
      <w:r>
        <w:t>Title</w:t>
      </w:r>
    </w:p>
    <w:p>
      <w:r>
        <w:t>Survey-based best-worst scaling and latent-class analysis of stakeholder acceptance and development potential of innovations for organic farming in Germany</w:t>
      </w:r>
    </w:p>
    <w:p>
      <w:r>
        <w:t xml:space="preserve"> </w:t>
      </w:r>
    </w:p>
    <w:p>
      <w:pPr>
        <w:pStyle w:val="Heading2"/>
      </w:pPr>
      <w:r>
        <w:t>Short Hypothesis</w:t>
      </w:r>
    </w:p>
    <w:p>
      <w:r>
        <w:t>Being a practicing organic farmer (versus being a professional advisor) causes higher mean acceptability scores for agronomic innovations in the survey sample.</w:t>
      </w:r>
    </w:p>
    <w:p>
      <w:r>
        <w:t xml:space="preserve"> </w:t>
      </w:r>
    </w:p>
    <w:p>
      <w:pPr>
        <w:pStyle w:val="Heading2"/>
      </w:pPr>
      <w:r>
        <w:t>Related Work</w:t>
      </w:r>
    </w:p>
    <w:p>
      <w:r>
        <w:t>Prior work has used stakeholder surveys to measure attitudes toward organic farming innovations and generally finds positive views and interest in sustainable practices. Existing approaches often use simple Likert scales or single-choice ranking methods, with some recent applications of Best-Worst Scaling (BWS) and latent class analysis (LCA) to reveal preference heterogeneity. Limitations in current studies include small or convenience samples without clear clustering adjustments, incomplete psychometric validation of composite scales, limited power for stable LCA solutions, sparse handling of mode or language measurement differences, weak documentation of weighting/post-stratification to population benchmarks, and insufficient integration of qualitative context to interpret latent segments. Many studies also lack pre-specified exclusion rules for low-effort responses and formal missing-data sensitivity analyses, reducing reproducibility and robustness of inference.</w:t>
      </w:r>
    </w:p>
    <w:p>
      <w:r>
        <w:t xml:space="preserve"> </w:t>
      </w:r>
    </w:p>
    <w:p>
      <w:pPr>
        <w:pStyle w:val="Heading2"/>
      </w:pPr>
      <w:r>
        <w:t>Abstract</w:t>
      </w:r>
    </w:p>
    <w:p>
      <w:r>
        <w:t>This study evaluates stakeholder acceptance, perceived importance, and development potential of agronomic and management innovations for organic farming by surveying attendees at German organic field days. We combine Best-Worst Scaling (BWS) to rank innovations, psychometrically validated acceptability scales, and latent class analysis (LCA) to find stakeholder segments with distinct preference profiles. Analysis will use mixed-logit and hierarchical Bayes for respondent-level utilities, ordinal regression for acceptability scores, and multilevel models or clustered standard errors to account for clustering by event site. We pre-register measurement rules (alpha/omega, EFA/CFA, IRT checks), attention/exclusion criteria, multiple imputation with auxiliary variables, and a raking-based post-stratification to national Öko-Statistik benchmarks. Expected contributions are (1) a reproducible, validated survey pipeline combining BWS and LCA for agricultural innovation prioritization, (2) robust segment profiles linking preferences to actionable policy metrics, and (3) transparent decision rules for psychometrics, weighting, and missing-data sensitivity to strengthen inference for policy use.</w:t>
      </w:r>
    </w:p>
    <w:p>
      <w:r>
        <w:t xml:space="preserve"> </w:t>
      </w:r>
    </w:p>
    <w:p>
      <w:pPr>
        <w:pStyle w:val="Heading2"/>
      </w:pPr>
      <w:r>
        <w:t>Methodology</w:t>
      </w:r>
    </w:p>
    <w:p>
      <w:r>
        <w:t>Overview: Run structured field-day surveys at three regional German organic events (north, central, south) with target n=500 total. Sampling: time-location convenience sampling with quota monitoring by stakeholder type (farmers, advisors, others). Instrument: 12–16 innovations, each with 1–2 sentence neutral vignette and a short comprehension item. Measures: (a) Best-Worst Scaling (BWS) Case 1 design, 4 items per task, 8 tasks per respondent; (b) acceptability and importance Likert items forming a composite scale; (c) willingness-to-adopt (binary); demographics and farm context. Psychometrics: compute Cronbach's alpha and McDonald’s omega for composites (alpha/omega &gt;= 0.70 acceptable). Run exploratory factor analysis (EFA) then confirmatory factor analysis (CFA); use item-response theory (IRT) item-fit statistics (S-X2 or similar) to detect misfitting items. Pre-specified decision rules: remove items with low factor loadings (&lt;0.30), low information in IRT, or that lower omega by &gt;0.02. BWS analysis: estimate aggregate conditional logit and mixed-logit (random parameters). Produce respondent-level utilities via hierarchical Bayes (HB). LCA: use respondent utilities or BWS-derived scores as inputs; select class solution by lowest BIC primary, report AIC, BLRT p-value, and require entropy &gt;=0.65. Minimum class-size rule: classes &lt;5% or n&lt;30 flagged as unstable. Missing data: perform multiple imputation by chained equations (MICE) with m=40 imputations, including auxiliary variables: stakeholder type, region, farm size, years organic, prior adoption indicators, survey mode, time-block, and attention flags. Assume missing at random (MAR) for primary analyses; pre-specify MNAR sensitivity using delta-adjustment on key scale means over a plausible range. Clustering and weighting: compute intra-class correlation (ICC) by site to estimate design effect. Use multilevel models with site random intercepts as primary for inferential models; report clustered robust SEs as sensitivity. Create post-stratification weights by raking (iterative proportional fitting) to Öko-Statistik margins on stakeholder type, region, and farm size; collapse small cells (&lt;10 cases) by adjacent categories. Mode and language equivalence: test measurement invariance across mode (self/interviewer/QR) and language (German/English) using multi-group CFA; if non-invariant, run stratified analyses. Quality control: attention checks, minimum time threshold (&lt;33% pilot median or &lt;2 min for short survey), straight-lining flags; primary analyses include sensitivity runs excluding flagged cases. Reproducibility: pre-register analytic plan, share de-identified data and scripts in a containerized workflow (Docker/Singularity) and document diagnostics for all models.</w:t>
      </w:r>
    </w:p>
    <w:p>
      <w:r>
        <w:t xml:space="preserve"> </w:t>
      </w:r>
    </w:p>
    <w:p>
      <w:pPr>
        <w:pStyle w:val="Heading2"/>
      </w:pPr>
      <w:r>
        <w:t>Experiments</w:t>
      </w:r>
    </w:p>
    <w:p>
      <w:r>
        <w:t>Datasets: Pilot dataset (n=60–100) from one field day; Main dataset (n_target=500 across 3 sites, min n=400). Baselines: unweighted vs raking-weighted results; unadjusted single-level models vs multilevel models with site random intercepts; BWS analysis: conditional logit baseline, mixed-logit and HB as alternatives; LCA solutions from 2 to 6 classes. Evaluation metrics: composite reliability (Cronbach's alpha, omega), factor loadings, IRT item-fit statistics, BIC/AIC, entropy, BLRT p-value for LCA, log-likelihood and holdout predictive accuracy for BWS models, odds ratios and proportional-odds tests for ordinal models, clustered robust SEs and design effect, effective sample size under weighting, difference-in-estimate between weighted and unweighted (&gt;10% flagged). Experimental setup: 1) Pilot: evaluate vignette comprehension, item time, and psychometric properties; apply item drop/merge rules after pilot. 2) Main: collect full sample using same instrument. 3) Primary tests: test Short Hypothesis via multilevel ordinal logistic model (acceptability outcome) with stakeholder type predictor (farmer vs advisor), site random intercepts, covariates (farm size, region); report coefficient, 95% CI, p-value. 4) Preference ranking: estimate BWS conditional logit, then mixed-logit and HB; compare rank order stability and predictive log-likelihood on held-out tasks. 5) Segmentation: run LCA on HB respondent utilities; choose number of classes by lowest BIC with entropy&gt;=0.65 and BLRT support; report class-size and class-specific acceptability means. 6) Ablations and sensitivity: (a) exclude attention-flagged respondents and compare estimates; (b) compare single-level vs multilevel estimates; (c) compare unweighted vs raked-weighted estimates; (d) MNAR sensitivity: run delta-adjustment shifts on imputed acceptability means and report change in primary inference. 7) Mode/language test: run multi-group CFA for invariance; if non-invariant, re-run primary models stratified by mode or language. Report all diagnostics and publish code and anonymized data artifacts.</w:t>
      </w:r>
    </w:p>
    <w:p>
      <w:r>
        <w:t xml:space="preserve"> </w:t>
      </w:r>
    </w:p>
    <w:p>
      <w:pPr>
        <w:pStyle w:val="Heading2"/>
      </w:pPr>
      <w:r>
        <w:t>Risk Factors And Limitations</w:t>
      </w:r>
    </w:p>
    <w:p>
      <w:r>
        <w:t>Low turnout or skewed sample causing small cells for key subgroups, limiting LCA stability and post-stratification accuracy. High nonresponse or low data quality (many short completions or failed attention checks) reducing effective sample size. Clustered design with high ICC increasing design effect and lowering power. BWS respondent fatigue causing inconsistent choices that reduce model fit. Psychometric issues: composite scale may show low reliability requiring item removal, which changes constructs. Measurement non-equivalence across modes or languages limiting pooling. MNAR missingness could bias results beyond MAR-based imputation assumptions. GDPR and ethics constraints may limit data sharing or require redaction of important covariates. Computational load: HB and bootstrapped LCA stability checks are compute-intensive and may be slow for large posterior samples. Generalization: inferences primarily apply to field-day attendees unless replicated and weighted; results may not generalize to all German organic farmers or international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