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e_waste_dismantle_cf_accounting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Field-based accounting method linking timestamped facility electricity to daily dismantling volumes to produce a carbon inventory for e-waste dismantling in China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weighted-overlap allocation algorithm that apportions timestamped machine electricity to batches using processing-time overlap and mass-composition weights yields per-unit carbon emission estimates with mean absolute error ≤10% relative to controlled tracer ground-truth across diverse dismantling facility types.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e-waste and industrial carbon accounting typically uses aggregated energy use or annual facility averages, coarse grid emission factors, or simplified per-unit factors. Some studies apply non-intrusive load monitoring (NILM) to disaggregate building loads, and others use time-motion or mass-weight allocation for processing lines. Sampling and upscaling in related sectors rely on stratified designs and Horvitz–Thompson weighting but rarely combine high-frequency metering with per-batch logs. Limitations: (1) low temporal resolution of energy data causes misallocation of shared/process energy; (2) simple time-proportional or mass-only allocations fail for overlapping batches and mixed-product lines; (3) NILM methods are often not validated across heterogeneous, noisy industrial contexts; (4) grid emission factor use is inconsistent and often lacks temporal marginality; (5) uncertainty propagation and tracer-validation are weak or absent; (6) informal-sector practices are under-sampled and under-documented. These weaknesses leave per-unit dismantling emissions biased and poorly characterized for policy use.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field-based method to account for the carbon footprint of e-waste dismantling in China by linking high-resolution electricity measurements with timestamped batch and mass logs to produce per-unit emissions. The method centers on a reproducible weighted-overlap allocation algorithm that apportions interval energy from monitored machines to overlapping batches using processing-time overlap and optional mass-composition weights. We pair utility-grade submetering, targeted NILM validated with submetered benchmarks, and a stratified sampling and upscaling protocol (Horvitz–Thompson weights) to produce provincial and national emission estimates with propagated uncertainty via nested Monte Carlo. Main contributions: (1) a formal allocation algorithm with edge-case rules and pseudocode; (2) a pre-registered sampling and weighting protocol for upscaling to 120–200 sites; (3) an EF-prior table and uncertainty model; and (4) tracer/validation experiments and NILM validation templates. Expected outcome: reproducible, low-bias per-unit carbon intensities for five e-waste categories and defensible national upscales for policy and intervention design.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collect synchronized electricity time-series, batch start/stop timestamps, and mass balances; apply a weighted-overlap allocation algorithm to apportion energy to batches; convert energy to CO2e using time-resolved grid emission factors; upscale site estimates with design weights and propagate uncertainty with nested Monte Carlo. Steps: 1) Sampling: define strata = facility_type × regional_grid_intensity across 6 clusters; select facilities by probability-proportional-to-size (PPS) using recent throughput. 2) Instrumentation: install utility-grade submeters (accuracy ≤0.2%), sample 1s–1min, sync clocks via NTP/GPS. Record batch logs with unique batch_id, product_type, start_time, end_time, mass_in_kg, mass_out_kg. 3) Allocation algorithm (weighted-overlap): for each machine m and interval t with measured energy E_m,t and set of overlapping batches B: compute τ_b = overlap_duration(batch b, interval t); compute raw_share_b = τ_b × α_comp(b) where α_comp(b) = mass_fraction or 1 if unknown; normalize shares S = Σ_b raw_share_b; allocate E_batch(b,t) = E_m,t × raw_share_b / S. Edge-case rules: if S=0 (no recorded batches) label interval as unallocated; concurrent multitasking (operator-run parallel tasks) use per-task recorded activity codes to split τ_b; startup transient energy identified by high-frequency spikes and either allocated proportionally to downstream mass or treated as separate loss term. 4) NILM: train supervised NILM models using labeled submeter data for major machines; only accept NILM outputs meeting SNR&gt;10 dB and energy RMSE≤15% relative to submeter. 5) Grid EF: use hourly marginal EF where available; fallback to provincial hourly average then diurnally scaled annual average; store EF priors with uncertainty distributions. 6) Upscaling and uncertainty: compute per-site emission intensity per product_type; aggregate using Horvitz–Thompson estimator: national_total = Σ_i (w_i × estimate_i) where w_i = 1/π_i; propagate uncertainty with nested Monte Carlo: inner loop samples metering error, allocation variability, EF priors; outer loop samples site-selection/weight uncertainty. 7) Deliverables: algorithm pseudocode, example timestamped logs with worked allocation, EF-prior table, NILM validation report template. Definitions: Horvitz–Thompson = a statistical estimator using inverse selection probabilities; NILM = non-intrusive load monitoring (method to disaggregate device energy from aggregate meter).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Pilot field data: 3–4 sites (one per stratum) with continuous 2 months of 1s/1min electricity logs, batch logs, mass balances, submetering for 10–20% major machines; (B) Regional rollouts: 40–60 sites with 14+ monitored days each, 1min logs; (C) Validation tracer dataset: controlled throughput runs at 6 sentinel sites with known unit counts and calibrated mass. Baselines: (1) time-proportional allocation (energy × batch_time/total_time), (2) mass-weighted allocation, (3) NILM-only allocations without composition weights. Metrics: mean absolute error (MAE) and root mean square error (RMSE) of per-unit CO2e vs tracer ground-truth; bias (mean error); coverage probability of 95% CI from Monte Carlo; percent of daily throughput linked to energy; NILM SNR and precision/recall for event detection. Experimental setup: 1) Validation: run tracer experiments with N_runs≥30 per product type across facility types, instrument whole-site meter and per-machine submetering; compute per-unit ground-truth energy from calibrated mass and measured energy. 2) Compare allocation methods on same timestamps: compute MAE/RMSE for each baseline and proposed weighted-overlap. 3) Ablation studies: (a) remove α_comp (composition weight) to test mass-weight impact; (b) treat startup energy as separate loss vs proportional allocation; (c) replace hourly marginal EF with provincial average EF to test EF sensitivity. 4) Sampling/power test: use pilot-observed within-stratum CVs and n = (Z*CV/RE)^2 (Z=1.96) to compute required n for RE=0.05 and RE=0.10; report achieved relative error and design-based variance using Horvitz–Thompson estimator with finite-population correction. 5) Uncertainty propagation: run nested Monte Carlo with ≥10,000 outer draws and ≥1,000 inner draws; report median and 95% CI for per-unit and national totals. 6) NILM validation: train supervised NILM on labeled submeter data (train/validation split 70/30), cross-site test on held-out facilities; report SNR, RMSE, precision/recall, and generalization degradation across sites.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meter installation errors, clock desynchronization, CT saturation, NILM fail on noisy/variable loads. Data biases: selective non-response from informal sites, inaccurate batch logs, misreported masses, and seasonal throughput variability. Validation limits: tracer experiments may not capture full operational variability; whole-site energy balance may miss unmonitored loads. Scalability and compute: nested Monte Carlo with large site counts is compute-intensive and may require high-performance resources. Generalization limits: allocation priors and NILM models trained on pilot sites may not transfer to distant provinces or novel equipment types. Legal/ethical constraints: consent refusal and data privacy rules may reduce usable sample. Budget and logistics: high per-site hardware and field-staff costs constrain achieving 120–200 sites. Mixed-product lines and reuse flows: ambiguity in attributing recovered goods and credits can cause double-counting or misattribution without conservative rules.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