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purpose_renewal_design_agenda</w:t>
      </w:r>
    </w:p>
    <w:p>
      <w:r>
        <w:t xml:space="preserve"> </w:t>
      </w:r>
    </w:p>
    <w:p>
      <w:pPr>
        <w:pStyle w:val="Heading2"/>
      </w:pPr>
      <w:r>
        <w:t>Title</w:t>
      </w:r>
    </w:p>
    <w:p>
      <w:r>
        <w:t>A systematic review and mixed-methods design-oriented study testing causal effects of corporate purpose dimensions on firm strategic renewal</w:t>
      </w:r>
    </w:p>
    <w:p>
      <w:r>
        <w:t xml:space="preserve"> </w:t>
      </w:r>
    </w:p>
    <w:p>
      <w:pPr>
        <w:pStyle w:val="Heading2"/>
      </w:pPr>
      <w:r>
        <w:t>Short Hypothesis</w:t>
      </w:r>
    </w:p>
    <w:p>
      <w:r>
        <w:t>Increasing the authenticity of a firm's corporate purpose causes a measurable increase in strategic renewal outcomes by improving managerial sensemaking and reallocating managerial attention toward renewal activities.</w:t>
      </w:r>
    </w:p>
    <w:p>
      <w:r>
        <w:t xml:space="preserve"> </w:t>
      </w:r>
    </w:p>
    <w:p>
      <w:pPr>
        <w:pStyle w:val="Heading2"/>
      </w:pPr>
      <w:r>
        <w:t>Related Work</w:t>
      </w:r>
    </w:p>
    <w:p>
      <w:r>
        <w:t>Prior work splits across several streams: studies of corporate social responsibility and mission statements focus on specific programs or rhetoric; organizational identity and managerial cognition literatures model how meaning and attention shape change; strategic renewal research measures firm adaptation outcomes (incremental vs. radical). Existing approaches are fragmented: measures of "purpose" vary widely and often conflate purpose with CSR or mission; cognitive mechanisms are frequently asserted but rarely measured with validated scales; causal inference is weak—most studies are cross-sectional, qualitative, or rely on simple associations; experimental or field-intervention evidence linking purpose features to renewal is scarce. Bibliometric mappings show dispersed clusters with few bridges. Limitations include inconsistent measurement, lack of harmonization across datasets, weak pre-registration of identification strategies, and limited multi-level tests of mediation and boundary conditions.</w:t>
      </w:r>
    </w:p>
    <w:p>
      <w:r>
        <w:t xml:space="preserve"> </w:t>
      </w:r>
    </w:p>
    <w:p>
      <w:pPr>
        <w:pStyle w:val="Heading2"/>
      </w:pPr>
      <w:r>
        <w:t>Abstract</w:t>
      </w:r>
    </w:p>
    <w:p>
      <w:r>
        <w:t>This project addresses whether and how corporate purpose drives strategic renewal. We combine a systematic literature review, reproducible bibliometric mapping, measurement validation, archival causal tests, lab vignettes, and field pilots to test the causal chain from purpose features (clarity, embeddedness, authenticity) through managerial cognition (sensemaking, identity alignment, attention) to renewal outcomes (new products, strategic pivots, resource reallocation). Main contributions are threefold: (1) a validated, multi-language purpose item bank and harmonization rules for heterogeneous measures; (2) pre-registered causal identification plans using panel quasi-experiments and cluster field trials; and (3) a design-oriented intervention kit tested in stepped-wedge pilots. Expected outcomes include clear evidence about which purpose dimensions causally affect renewal, validated cognitive mediators, and actionable intervention modules for practitioners. This integrated approach produces reproducible artifacts (codebooks, scripts, maps) to enable future cumulative research on purpose-driven strategic renewal.</w:t>
      </w:r>
    </w:p>
    <w:p>
      <w:r>
        <w:t xml:space="preserve"> </w:t>
      </w:r>
    </w:p>
    <w:p>
      <w:pPr>
        <w:pStyle w:val="Heading2"/>
      </w:pPr>
      <w:r>
        <w:t>Methodology</w:t>
      </w:r>
    </w:p>
    <w:p>
      <w:r>
        <w:t>1) Systematic review and corpus: Run reproducible searches across Web of Science, Scopus, ABI/INFORM, PsycINFO, ProQuest, SSRN and targeted grey literature from 1990–present. Extract metadata, explicit purpose text, measures, mechanisms, outcomes, and context. 2) Coding and harmonization: Two independent coders per paper; code clarity, embeddedness, authenticity, cognitive mediators, renewal type, methods, and bias. Build a cross-walk table mapping survey items, text indicators, and archival proxies to the three purpose dimensions. 3) Measurement validation: Develop an item bank for clarity/embeddedness/authenticity and mediator scales. Validate with factor analysis (CFA: confirmatory factor analysis) and item response theory (IRT: a method that models how items relate to latent traits) across holdout samples and languages. Test measurement invariance across industries and levels. 4) Bibliometrics: Construct co-citation and bibliographic-coupling maps and topic models (BERTopic and LDA) to identify clusters and gaps. 5) Archival causal tests: Use firm-level panel data and methods: difference-in-differences (DiD: compare treated vs control before/after), synthetic controls (construct a weighted control), and instrumental variables (IV: instrument is a variable that affects purpose but not renewal directly). Pre-register candidate instruments and falsification tests. 6) Experiments and pilots: Run vignette/lab experiments manipulating purpose clarity and authenticity to test short-term cognitive mediators. Conduct stepped-wedge cluster randomized pilots with practitioner partners to test modular interventions (purpose articulation, governance tuning). 7) Synthesis: Multilevel mediation models (multilevel structural equation modeling) to test cross-level causal chains; three-level random-effects meta-analysis or narrative synthesis where meta-analysis is infeasible. 8) Reproducibility: Pre-register protocols, share codebooks, scripts, and cleaned data artifacts on OSF.</w:t>
      </w:r>
    </w:p>
    <w:p>
      <w:r>
        <w:t xml:space="preserve"> </w:t>
      </w:r>
    </w:p>
    <w:p>
      <w:pPr>
        <w:pStyle w:val="Heading2"/>
      </w:pPr>
      <w:r>
        <w:t>Experiments</w:t>
      </w:r>
    </w:p>
    <w:p>
      <w:r>
        <w:t>Datasets: (A) Systematic review corpus from WoS/Scopus/ABI/ProQuest/SSRN and grey sources; (B) Firm panel data: Compustat/Orbis for financials and firm attributes; (C) Patent data: PatentsView / USPTO for invention counts; (D) Product launch and pivot events: Factiva, press releases, and Datastream/Crunchbase for new product entries; (E) Text corpora: 10-Ks, annual reports, CEO letters for automated purpose indicators; (F) Practitioner pilot sample: 20 firms with 4–8 business-unit clusters each. Baselines: (1) no-intervention control; (2) purpose-articulation-only (text + communication); (3) governance-tuning-only (changes to incentives/routines). Evaluation metrics: primary—count of strategic renewal events per year (new product introductions, documented strategic pivots, patent filings normalized by firm size); secondary—resource reallocation share (percent budget moved to new initiatives), managerial sensemaking score (survey scale), managerial attention index (time/allocation logs or meeting topic shares). Experimental setup: 1) Lab/vignette: n=400 managers randomized to four conditions (high/low clarity × high/low authenticity); measure sensemaking, identity alignment, and allocation choices; analyze with ANOVA and mediation (bootstrapped indirect effects). 2) Archival DiD: identify exogenous purpose shocks (e.g., board-adopted purpose policy date) with treated firms and matched controls; require panel length ≥3 years pre and ≥3 years post; estimate DiD with firm and year fixed effects; run placebo leads and balance tests. 3) Stepped-wedge cluster RCT pilot: 20 firms × 4 clusters each (80 clusters), roll out intervention in randomized waves; primary analysis via mixed-effects models with cluster and firm random effects; assume ICC=0.05 and power calculations pre-registered to detect d≈0.35; compare full kit vs articulation-only (ablation). 4) Archival IV / synthetic control: candidate IVs include regional NGO purpose campaigns timing or regulatory disclosures that altered stated purpose; run overidentification and weak instrument tests. Ablation study: compare full intervention (articulation + governance tuning + sensemaking workshops) vs articulation-only to isolate governance effect. Pre-specified falsification tests: placebo outcomes (historical metrics unrelated to renewal), leads of treatment effect, and covariate balance checks. Meta-analysis rules: only combine effects with consistent outcome definitions (≥3 effects); use three-level random-effects models and report Tau^2 and I^2.</w:t>
      </w:r>
    </w:p>
    <w:p>
      <w:r>
        <w:t xml:space="preserve"> </w:t>
      </w:r>
    </w:p>
    <w:p>
      <w:pPr>
        <w:pStyle w:val="Heading2"/>
      </w:pPr>
      <w:r>
        <w:t>Risk Factors And Limitations</w:t>
      </w:r>
    </w:p>
    <w:p>
      <w:r>
        <w:t>1) Measurement error: purpose and authenticity proxies from text or self-report may misrepresent true embeddedness; cross-walk and IRT linking may be imperfect. 2) Small effect sizes: true effects may be small, requiring large samples or many clusters; pilots may be underpowered. 3) Selection and confounding: firms volunteering for pilots may differ systematically; quasi-experimental archival identification may face unobserved confounders. 4) Instrument validity: plausible instruments for IV may be weak or violate exclusion restrictions. 5) Non-compliance and contamination: in field pilots, units may not adhere to interventions or may share treatments across clusters. 6) Data access and heterogeneity: firm-level, product, and event data may be incomplete or inconsistent across countries and firms; language translation adds variability. 7) Scalability and compute: text processing, topic models, and IRT/CFA on large multilingual corpora require compute resources and careful preprocessing. 8) Generalization limits: findings may not generalize across industries, firm sizes, or national institutions. 9) Ethical/legal constraints: interventions that change governance or incentives may create legal or stakeholder risks and require careful IRB and GDPR compliance.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