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Assessing how land use and land cover changes affect ecosystem service value in Qianyang County using high-resolution LULC mapping, spatial statistics, Monte Carlo uncertainty propagation, and PLUS model scenarios</w:t>
      </w:r>
    </w:p>
    <w:p>
      <w:r>
        <w:t xml:space="preserve"> </w:t>
      </w:r>
    </w:p>
    <w:p>
      <w:pPr>
        <w:pStyle w:val="Heading2"/>
      </w:pPr>
      <w:r>
        <w:t>Short Hypothesis</w:t>
      </w:r>
    </w:p>
    <w:p>
      <w:r>
        <w:t>Conversion of cropland and forest to built-up land between 2007 and 2022 caused a statistically significant decrease in total ecosystem services value in Qianyang County.</w:t>
      </w:r>
    </w:p>
    <w:p>
      <w:r>
        <w:t xml:space="preserve"> </w:t>
      </w:r>
    </w:p>
    <w:p>
      <w:pPr>
        <w:pStyle w:val="Heading2"/>
      </w:pPr>
      <w:r>
        <w:t>Related Work</w:t>
      </w:r>
    </w:p>
    <w:p>
      <w:r>
        <w:t>Existing studies use mapped land use and land cover (LULC) to estimate ecosystem service value (ESV) by applying transferred per-class monetary coefficients. Common approaches rely on coarse class aggregation, single best-estimate coefficients, and deterministic LULC maps. Limitations include: (1) reliance on transferred coefficients without local calibration, which can misstate values; (2) weak propagation of classification and valuation uncertainty into spatial ESV maps; (3) limited use of spatial-autocorrelation diagnostics to assess clustering and hotspots; (4) sparse hindcast validation or scenario structural ensembles for future projections; (5) risk of double-counting services (stocks vs flows) and lack of empirical validation against biophysical proxies. Methods that combine high-resolution probabilistic LULC, formal expert elicitation for coefficients, Monte Carlo uncertainty, spatial statistics, and spatially explicit land-change models remain underexplored.</w:t>
      </w:r>
    </w:p>
    <w:p>
      <w:r>
        <w:t xml:space="preserve"> </w:t>
      </w:r>
    </w:p>
    <w:p>
      <w:pPr>
        <w:pStyle w:val="Heading2"/>
      </w:pPr>
      <w:r>
        <w:t>Abstract</w:t>
      </w:r>
    </w:p>
    <w:p>
      <w:r>
        <w:t>We quantify how land use and land cover (LULC) changes influenced ecosystem service value (ESV) in Qianyang County by combining high-resolution historical LULC maps (2007–2022), formal uncertainty propagation, spatial-statistical diagnostics, and future scenario simulations with the PLUS land-change model. The approach generates per-pixel LULC probability maps, calibrates ESV coefficient distributions through expert elicitation and local data, and runs Monte Carlo ensembles that jointly sample classification labels and valuation coefficients to produce mean ESV maps and confidence intervals. Spatial statistics (Global/Local Moran’s I, LISA, Getis-Ord Gi*) and landscape metrics identify clustering and structural drivers of ESV change. PLUS is calibrated with observed transitions and used to produce 2050 BAU, Conservation, and Rapid Urbanization scenarios with explicit numeric rules. Main contributions are: an auditable pipeline that propagates classification and valuation uncertainty into spatial ESV products; spatially explicit attribution of ESV change to LULC transitions; and policy-relevant scenario comparisons for 2050. Expected outcomes are robust maps and metrics to support sustainable land management in the county.</w:t>
      </w:r>
    </w:p>
    <w:p>
      <w:r>
        <w:t xml:space="preserve"> </w:t>
      </w:r>
    </w:p>
    <w:p>
      <w:pPr>
        <w:pStyle w:val="Heading2"/>
      </w:pPr>
      <w:r>
        <w:t>Methodology</w:t>
      </w:r>
    </w:p>
    <w:p>
      <w:r>
        <w:t>1) Data harmonization: collect 30 m LULC inputs from Landsat Collection 2 SR (2007–2012) and Harmonized Landsat–Sentinel (2015–2022). Apply per-band linear correction to an OLI baseline using pseudo-invariant features (stable ground targets) and Ross-Li BRDF correction (a simple method to reduce viewing/illumination differences). Produce two seasonal median composites per target year (growing and non-growing seasons). 2) LULC mapping: train a classifier to produce per-pixel class-probability maps for an 8-class legend (cropland, forest, shrub/grassland, wetland, water, built-up, barren, orchards). Use a pooled training set and spatially blocked cross-validation (5 spatial folds repeated 50 times) to estimate generalization. 3) ESV coefficient calibration: compile baseline coefficients (province-level) and run a two-stage expert elicitation (Delphi then Cooke’s classical method) to derive per-class per-service distributions. Use triangular or normal distributions as data allow. 4) Uncertainty propagation: run 500 Monte Carlo realizations. In each realization sample a per-pixel LULC label from the probability map and sample ESV coefficients from their distributions. Compute pixel-level ESV = sum_over_services(class_area_ha * coefficient). Aggregate to maps of mean ESV and 90% confidence intervals. 5) Spatial analysis: compute Global Moran’s I (global clustering), Local Moran’s I / LISA (local clusters), and Getis-Ord Gi* (hot/cold spots) at 30 m and aggregated supports (90–300 m). Calculate landscape metrics (PLAND, NP, LPI, EDGE_DENSITY, connectivity) per year. 6) Sensitivity: perform Sobol/FAST global sensitivity screening on ESV coefficients and key classification parameters to identify influential inputs. 7) PLUS modeling: build transition matrices from 2007–2022 observed transitions, derive driver layers (distance to roads, population density, elevation, protected areas), and calibrate PLUS on 2007–2015 then hindcast 2016–2022 for validation. Define numeric 2050 scenarios (BAU from trend extrapolation; Conservation: reduce non-natural-to-built transitions by 60% in protected zones and add modest afforestation; Rapid Urbanization: double non-urban-to-built transition probabilities and relax protections). 8) Field sampling: collect ~1,000 ground points stratified by class and targeted at high-uncertainty/change hotspots, record photos and management notes. 9) Reproducibility: publish scripts, seeds, parameter files, and summary rasters with metadata.</w:t>
      </w:r>
    </w:p>
    <w:p>
      <w:r>
        <w:t xml:space="preserve"> </w:t>
      </w:r>
    </w:p>
    <w:p>
      <w:pPr>
        <w:pStyle w:val="Heading2"/>
      </w:pPr>
      <w:r>
        <w:t>Experiments</w:t>
      </w:r>
    </w:p>
    <w:p>
      <w:r>
        <w:t>Datasets: (1) Harmonized seasonal composites from Landsat Collection 2 SR (2007–2012) and HLS/Sentinel-2 SR (2015–2022) at 30 m; (2) field validation points (~1000) with class labels and photos; (3) driver layers: DEM, road distance, population, protected areas; (4) baseline ESV coefficient table with provenance. Baselines: A) deterministic ESV using dominant-class maps and single best-estimate coefficients; B) probabilistic ESV with classification uncertainty only (no coefficient uncertainty); C) alternate land-change model (CLUE-S) for 2050 scenarios. Metrics: per-class producer and user accuracy, overall accuracy, confusion matrix, Figure-of-Merit (FoM) for change, AUC for probabilistic outputs; total and per-class ESV difference (monetary units per year); permutation test for significance of ESV change; Global Moran’s I and LISA p-values; Sobol total and first-order indices for sensitivity. Setup: 1) LULC mapping: spatially blocked 5-fold CV repeated 50 times; report accuracies. 2) Monte Carlo: run 500 realizations, compute mean and 90% CI ESV rasters; run convergence test by computing hotspot-frequency stability at realization counts 100, 200, 500, 1000. 3) Hindcast: calibrate PLUS on 2007–2015, simulate 2016–2022, compare simulated vs observed with per-class FoM and spatial error maps. 4) Scenarios: run 2050 BAU, Conservation, Rapid Urbanization in PLUS using mapped numeric rules; compute ESV ensemble for each scenario. 5) Ablation studies: (i) remove coefficient uncertainty; (ii) remove classification uncertainty; (iii) replace PLUS with CLUE-S; compare ESV totals, hotspot stability, and spatial-error metrics.</w:t>
      </w:r>
    </w:p>
    <w:p>
      <w:r>
        <w:t xml:space="preserve"> </w:t>
      </w:r>
    </w:p>
    <w:p>
      <w:pPr>
        <w:pStyle w:val="Heading2"/>
      </w:pPr>
      <w:r>
        <w:t>Risk Factors And Limitations</w:t>
      </w:r>
    </w:p>
    <w:p>
      <w:r>
        <w:t>1) Classification errors and misregistration: inaccurate LULC maps or misaligned layers will bias ESV maps. 2) Transfer coefficient mismatch: transferred monetary coefficients may not reflect local biophysical or socio-economic conditions, causing systematic value errors. 3) Double-counting: monetizing multiple services without clear stock vs flow rules can overstate totals. 4) Limited empirical validation: lack of independent biophysical proxies (e.g., water yield, pollinator counts) limits direct validation of ESV components. 5) Field data shortfalls: fewer or spatially biased ground points reduce confidence in classifier accuracy and expert calibration. 6) Structural model uncertainty: PLUS and alternative CA models may produce divergent 2050 maps; conclusions depend on model choice. 7) Monte Carlo and ensemble compute: 500+ realizations and spatial analyses at 30 m require substantial compute and storage. 8) Convergence and tail stability: hotspot frequency tails may require more realizations to stabilize. 9) Limited generalization: results are specific to Qianyang County and the chosen coefficient transfer approach. 10) Non-market values: monetary ESV omits cultural or intangible values that are hard to quantify or monetize.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