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dvt_pm_scale</w:t>
      </w:r>
    </w:p>
    <w:p>
      <w:r>
        <w:t xml:space="preserve"> </w:t>
      </w:r>
    </w:p>
    <w:p>
      <w:pPr>
        <w:pStyle w:val="Heading2"/>
      </w:pPr>
      <w:r>
        <w:t>Title</w:t>
      </w:r>
    </w:p>
    <w:p>
      <w:r>
        <w:t>Development and validation of a protection-motivation-theory-based scale to measure motivation for postdischarge deep vein thrombosis prophylaxis after hip and knee arthroplasty</w:t>
      </w:r>
    </w:p>
    <w:p>
      <w:r>
        <w:t xml:space="preserve"> </w:t>
      </w:r>
    </w:p>
    <w:p>
      <w:pPr>
        <w:pStyle w:val="Heading2"/>
      </w:pPr>
      <w:r>
        <w:t>Short Hypothesis</w:t>
      </w:r>
    </w:p>
    <w:p>
      <w:r>
        <w:t>Higher scores on a Protection Motivation Theory (PMT)-based motivation scale measured at discharge causally increase the probability of adequate prophylaxis adherence (pharmacy PDC &gt;= 80%) during the first 30 days after hip or knee arthroplasty.</w:t>
      </w:r>
    </w:p>
    <w:p>
      <w:r>
        <w:t xml:space="preserve"> </w:t>
      </w:r>
    </w:p>
    <w:p>
      <w:pPr>
        <w:pStyle w:val="Heading2"/>
      </w:pPr>
      <w:r>
        <w:t>Related Work</w:t>
      </w:r>
    </w:p>
    <w:p>
      <w:r>
        <w:t>Existing work has applied Protection Motivation Theory and other behavioral models to measure motivation and predict adherence for post-arthroplasty DVT prophylaxis. Prior instruments often rely on small samples, classical test theory (sum scores, Cronbach's alpha), and self-report adherence anchors. Common limitations are: limited use of modern psychometrics (graded-response IRT), sparse or absent DIF (differential item functioning) and invariance testing across languages and demographic groups, weak linkage to objective adherence data (pharmacy refill metrics), little or no evidence of responsiveness or minimal clinically important differences (MCID), and inadequate short-form derivation procedures. Translation and cultural adaptation processes are inconsistently reported, reducing generalizability. No prior work combines mixed-methods item generation, robust EFA/CFA with WLSMV, graded-response IRT, rigorous DIF detection, and objective pharmacy-based validation within a pre-registered decision framework.</w:t>
      </w:r>
    </w:p>
    <w:p>
      <w:r>
        <w:t xml:space="preserve"> </w:t>
      </w:r>
    </w:p>
    <w:p>
      <w:pPr>
        <w:pStyle w:val="Heading2"/>
      </w:pPr>
      <w:r>
        <w:t>Abstract</w:t>
      </w:r>
    </w:p>
    <w:p>
      <w:r>
        <w:t>We propose to develop and validate a theory-grounded instrument that measures patients' motivation for postdischarge deep vein thrombosis (DVT) prophylaxis after hip or knee arthroplasty. Using mixed methods, candidate items will be generated from literature review, patient interviews, and expert input, then refined by cognitive testing. Psychometric evaluation will proceed with exploratory and confirmatory factor analyses using estimators appropriate for ordinal data, graded-response item response theory (IRT) to estimate item discrimination and thresholds, and DIF analyses across language and demographic groups. Objective adherence proxies (pharmacy proportion days covered and e-prescribe logs) will anchor criterion validity; a short form will be derived by maximizing IRT test information while preserving content coverage. The main contribution is a validated, cross-culturally tested PMT-based motivation scale with documented reliability, validity, measurement invariance, and scoring guidance (sum and IRT theta). Expected impact: an actionable, psychometrically robust tool to identify patients at risk for suboptimal prophylaxis adherence and to inform targeted adherence interventions.</w:t>
      </w:r>
    </w:p>
    <w:p>
      <w:r>
        <w:t xml:space="preserve"> </w:t>
      </w:r>
    </w:p>
    <w:p>
      <w:pPr>
        <w:pStyle w:val="Heading2"/>
      </w:pPr>
      <w:r>
        <w:t>Methodology</w:t>
      </w:r>
    </w:p>
    <w:p>
      <w:r>
        <w:t>1) Item generation: conduct literature review, 24–30 semi-structured interviews with diverse post-arthroplasty patients, and expert panel review to produce 40–60 candidate items mapped to PMT constructs (perceived vulnerability, perceived severity, self-efficacy, response efficacy, response cost) plus cues to action, habit, and social/environmental modifiers. 2) Cognitive testing: iterative think-aloud interviews (12–18 participants) to refine wording, readability, and response anchors (5-point Likert). 3) Content validation: compute Content Validity Index (CVI) with clinicians and patient raters; revise items. 4) Pilot testing: administer pilot instrument (≤40 items) to ~150 participants to check timing, distributions, and sparse categories. 5) Main psychometrics: recruit target samples for EFA (n=300–400) and CFA (n=300–400; independent or split sample), and IRT analyses (total n≥500). Use polychoric correlations and exploratory factor analysis (minres or principal axis, oblique rotation) with parallel analysis to identify factor structure. 6) Confirmatory factor analysis: use WLSMV estimator on polychoric matrices and prespecified fit criteria (CFI/TLI, RMSEA, SRMR). 7) IRT: fit graded-response models (MMLE) to estimate item discrimination (a) and thresholds (b); compute item and test information functions. 8) DIF and invariance: use ordinal logistic regression and IRT-LR tests to flag DIF (Nagelkerke ΔR2 &gt;0.02, p&lt;0.001 FDR-adjusted); test CFA invariance with ΔCFI &lt;0.01 and ΔRMSEA &lt;0.015 criteria. 9) Scoring: provide summed subscale scores and IRT theta scores; transform theta to T-scores (mean 50, SD 10). 10) Short-form derivation: select ≤10 items by maximizing IRT information across clinically relevant theta range while ensuring domain representation; cross-check with LASSO regression anchored to adherence outcome. 11) Reliability: assess internal consistency (omega), and test–retest stability (ICC(2,1)) in n≈75 stable participants over ~14 days. 12) Validity: assess convergent/divergent validity via correlations with objective pharmacy PDC/MPR, validated self-report adherence scale, general self-efficacy, health locus of control, and measures of mood; derive ROC cutpoints vs PDC&lt;80%. 13) Responsiveness and MCID: in a longitudinal subsample or nested intervention, measure pre/post change and estimate MCID by anchor-based (patient global change) and distribution-based (0.5 SD) methods. 14) Missing data: use FIML for CFA when MAR and &lt;10% missing; use MICE (m=20–50) with auxiliary variables when missing is larger. 15) Translation: forward/back translation, committee reconciliation, and cognitive testing (n=10–20 per language); pretest psychometrics where feasible.</w:t>
      </w:r>
    </w:p>
    <w:p>
      <w:r>
        <w:t xml:space="preserve"> </w:t>
      </w:r>
    </w:p>
    <w:p>
      <w:pPr>
        <w:pStyle w:val="Heading2"/>
      </w:pPr>
      <w:r>
        <w:t>Experiments</w:t>
      </w:r>
    </w:p>
    <w:p>
      <w:r>
        <w:t>Datasets: 1) Qualitative transcripts from n=24–30 interviews and n=12–18 cognitive interviews. 2) Pilot survey dataset n≈150. 3) Main validation surveys: EFA sample n=350, CFA sample n=350 (independent) or total n=700 split randomly; IRT and DIF analyses require total n≥500 with subgroup n≥200 for binary comparisons (language, age-band, surgery type). 4) Objective adherence linkage: pharmacy refill data (PDC and MPR) and e-prescribe/dispense logs for all survey participants. 5) Longitudinal responsiveness subsample n≈200 (or nested intervention arm) with baseline and 30/90-day follow-up. Baselines: existing PMT-based motivation questionnaires if available, validated self-report adherence scale, and general self-efficacy scale. Evaluation metrics: EFA: factor loadings, communalities, parallel analysis outputs. CFA: CFI, TLI, RMSEA, SRMR, standardized loadings (target ≥0.50). Reliability: omega and Cronbach's alpha, ICC(2,1) for test–retest (target ICC ≥0.70). IRT: item discrimination a (flag a&lt;0.65), threshold parameter estimates b, item/test information, standard errors. DIF: ordinal logistic regression Nagelkerke ΔR2 and IRT-LR test statistics (p&lt;0.001 FDR-adjusted). Validity: Pearson/Spearman correlations with adherence and construct measures, AUC of ROC vs PDC&lt;80%, sensitivity/specificity at cutpoints. Responsiveness/MCID: anchor-based ROC area and minimal detectable change (MDC), distribution-based 0.5 SD. Experimental setup: 1) Run EFA on pilot+EFA sample using polychoric correlations and oblique rotation; apply item retention rules (primary loading ≥0.40, communality ≥0.30, cross-loading gap ≥0.20). 2) Confirm structure with CFA (WLSMV) on independent CFA sample; remove items with loadings &lt;0.40. 3) Fit graded-response IRT to combined sample (n≥500); evaluate local dependence (residuals &gt;0.20, Yen's Q3 &gt;0.36). 4) Conduct DIF tests across prespecified groups; follow remediation hierarchy (revise, split calibration, remove). 5) Derive short form by IRT information maximization and compare against LASSO-selected short form in an ablation study: (A) IRT-based short form, (B) LASSO short form, (C) random item subset of same length. Compare AUC, test information, and correlation with full scale. 6) Compare scoring methods: summed scores vs IRT theta by correlating with PDC, AUC, and sensitivity analyses. 7) Sensitivity analyses: (i) results with FIML vs MI, (ii) with and without items flagged for DIF, (iii) category collapsing when category &lt;5%. 8) DVT outcome analysis: if registry linkage yields sufficient events, implement nested case–control (ratio 1:4) with conditional logistic regression adjusted for covariates; otherwise report adherence-anchored predictive validity.</w:t>
      </w:r>
    </w:p>
    <w:p>
      <w:r>
        <w:t xml:space="preserve"> </w:t>
      </w:r>
    </w:p>
    <w:p>
      <w:pPr>
        <w:pStyle w:val="Heading2"/>
      </w:pPr>
      <w:r>
        <w:t>Risk Factors And Limitations</w:t>
      </w:r>
    </w:p>
    <w:p>
      <w:r>
        <w:t>1) Low DVT event rate: DVT outcomes may be too rare for reliable direct prediction; large samples or registry linkage are required. 2) Recruitment and representativeness: achieving target subgroup sizes (language, race/ethnicity, SES, rural) may be difficult, risking biased psychometrics and limited generalizability. 3) Measurement bias in adherence proxies: pharmacy PDC/MPR reflect dispensed medication, not ingestion; e-prescribe logs have incomplete coverage. 4) DIF and translation issues: items may show differential functioning across languages or groups, complicating comparability. 5) Psychometric failure modes: poor item discrimination, local dependence, or unstable factor structure may force item removal and reduce content coverage. 6) Missing data: nonrandom missingness could bias estimates despite MI/FIML. 7) Sample-size constraints: subgroup DIF tests and IRT parameter precision require large samples; insufficient N reduces statistical power. 8) Operational and privacy constraints: delays in DUAs, data linkage approvals, or limited access to pharmacy data may impede criterion validation. 9) Scalability: extensive translation and pretesting across languages increases time and cost. 10) Causal inference limits: observational validation links motivation scores to adherence but cannot conclusively prove causation without randomized intervention.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