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tradeoff_bank_capital_merton</w:t>
      </w:r>
    </w:p>
    <w:p>
      <w:r>
        <w:t xml:space="preserve"> </w:t>
      </w:r>
    </w:p>
    <w:p>
      <w:pPr>
        <w:pStyle w:val="Heading2"/>
      </w:pPr>
      <w:r>
        <w:t>Title</w:t>
      </w:r>
    </w:p>
    <w:p>
      <w:r>
        <w:t>An integrated Fernández–Merton trade-off model to compute optimal bank capital and WACC under liquidity premia and subsidy-adjusted debt costs</w:t>
      </w:r>
    </w:p>
    <w:p>
      <w:r>
        <w:t xml:space="preserve"> </w:t>
      </w:r>
    </w:p>
    <w:p>
      <w:pPr>
        <w:pStyle w:val="Heading2"/>
      </w:pPr>
      <w:r>
        <w:t>Short Hypothesis</w:t>
      </w:r>
    </w:p>
    <w:p>
      <w:r>
        <w:t>Accounting for liquidity premia and government subsidy-adjusted debt costs in a Fernandez–Merton trade-off model causes the WACC-minimizing leverage L* to be lower (i.e., higher equity ratios) than models that ignore liquidity premia or subsidies, and the difference is statistically significant.</w:t>
      </w:r>
    </w:p>
    <w:p>
      <w:r>
        <w:t xml:space="preserve"> </w:t>
      </w:r>
    </w:p>
    <w:p>
      <w:pPr>
        <w:pStyle w:val="Heading2"/>
      </w:pPr>
      <w:r>
        <w:t>Related Work</w:t>
      </w:r>
    </w:p>
    <w:p>
      <w:r>
        <w:t>Existing approaches split into (a) trade-off corporate finance models that weigh tax shields against bankruptcy costs but often treat distress costs simplistically, (b) Fernández-style cost-of-leverage analyses that formalize marginal distress costs but rarely include explicit liquidity premia or PD derivatives, (c) Merton structural credit models that give PDs from asset dynamics but typically do not feed PD′(L) back into a capital-choice optimization, and (d) reduced-form empirical studies linking capital and spreads but with endogeneity issues. Limitations: no single method simultaneously (i) uses structural PD and PD′(L) in the first-order condition, (ii) models state-dependent liquidity premia s_liq(L) with analytic derivatives, (iii) embeds subsidy parameters (deposit insurance, bailout probability) that are empirically identified, or (iv) provides a reproducible mapping from optimal leverage to Basel metrics across countries.</w:t>
      </w:r>
    </w:p>
    <w:p>
      <w:r>
        <w:t xml:space="preserve"> </w:t>
      </w:r>
    </w:p>
    <w:p>
      <w:pPr>
        <w:pStyle w:val="Heading2"/>
      </w:pPr>
      <w:r>
        <w:t>Abstract</w:t>
      </w:r>
    </w:p>
    <w:p>
      <w:r>
        <w:t>We develop an integrated Fernandez–Merton trade-off model that computes optimal bank capital by minimizing the bank’s weighted average cost of capital (WACC) while explicitly accounting for liquidity premia and government debt subsidies. The model nests a Fernandez cost-of-leverage term adjusted for a parametric liquidity premium s_liq(L) and subsidy parameters (deposit insurance intensity and perceived bailout probability) and uses a Merton structural formulation to produce PD(L) and its derivative PD′(L). We calibrate and identify key inputs using panel IV and Bayesian fusion of market data (equity, options, CDS, bond spreads) and institutional instruments (staggered regulatory reforms, repo-haircut shocks, central-bank liquidity episodes). Main contributions are: (1) an explicit first-order condition showing where PD, PD′, s_liq and its slope enter the optimality condition; (2) operational subsidy parametrization with empirical moments; and (3) a reproducible numerical pipeline that maps L* to regulatory capital metrics (CET1/AT1/T2). We expect sharper, policy-relevant capital recommendations that are robust to liquidity and subsidy channels.</w:t>
      </w:r>
    </w:p>
    <w:p>
      <w:r>
        <w:t xml:space="preserve"> </w:t>
      </w:r>
    </w:p>
    <w:p>
      <w:pPr>
        <w:pStyle w:val="Heading2"/>
      </w:pPr>
      <w:r>
        <w:t>Methodology</w:t>
      </w:r>
    </w:p>
    <w:p>
      <w:r>
        <w:t>1) Model core: define leverage L = D/A and WACC(L) = r_e(L)·(1−L) + r_d(L)·L where r_e(L) is equity cost and r_d(L) is debt cost. Include Fernandez cost-of-leverage term so the objective is WACC + PD(L)·C(A)/A + s_liq(L)·L contributions; here C(A)/A is distress cost as fraction of assets. 2) Equity cost r_e(L): baseline Hamada CAPM r_e(L)=r_f+β_u[1+(1−τ_eff)D/E]·λ_m; structural refinement computes r_e from Merton equity payoff under limited liability. τ_eff = τ − ψ_dep − s_sub (ψ_dep is deposit-insurance intensity; s_sub = p_bail·(1−recovery)). 3) Default probability: use Merton formulas PD(L)=Φ(−d2) with d2 = [ln(A/D)+(μ−0.5σ_A^2)T]/(σ_A√T) and analytic PD′(L) via φ(d2)/(L σ_A√T). Explain: Φ is normal CDF, φ is normal PDF. 4) Liquidity premium s_liq(L): choose parsimonious families, e.g., s0 + k·(L/(1−L))^γ or s0 + k·L^γ, and compute derivative s_liq′(L) analytically. 5) Subsidies: parameterize ψ_dep and p_bail, enter τ_eff and r_d via s_sub; include these in FOC. 6) Identification and estimation: recover A and σ_A via Merton inversion combining equity market values, option-implied vols, and CDS (hierarchical Bayesian fusion). Estimate s_liq′ with panel IV using staggered Basel dates, repo-haircut shocks, and central-bank injections as instruments; use LIML and system-GMM where needed. 7) Numerical solution: implement robust root-finder and grid search to solve FOC for L*, run Monte Carlo over priors, map to CET1 = (1−L*)/ω and other Basel metrics. 8) Validation: unit tests for PD, PD′, s_liq, s_liq′, r_e(L) algebra, solver convergence.</w:t>
      </w:r>
    </w:p>
    <w:p>
      <w:r>
        <w:t xml:space="preserve"> </w:t>
      </w:r>
    </w:p>
    <w:p>
      <w:pPr>
        <w:pStyle w:val="Heading2"/>
      </w:pPr>
      <w:r>
        <w:t>Experiments</w:t>
      </w:r>
    </w:p>
    <w:p>
      <w:r>
        <w:t>Datasets: quarterly bank balance sheets and income statements for a large international sample (including GSIBs), daily equity prices and option-implied volatilities, bond yields and CDS spreads, repo haircut series, central-bank liquidity operations, and country tax/regulatory event calendars. Time window: 2000–2020, with holdout crises (2007–2009 and 2020) for out-of-sample tests. Baselines: (B1) Hamada CAPM r_e(L) with no s_liq (traditional trade-off), (B2) Merton structural PD in pricing but no PD′ feedback, (B3) reduced-form hazard model for PD. Estimation: Bayesian MCMC for fusion of option/CDS to recover A and σ_A; panel IV (bank and time FE) with instruments {Basel staggered dates, repo-haircut regime shifts, central-bank injections}; use LIML/CLR for weak IVs. Evaluation metrics: (i) ability to replicate observed CET1 distribution (mean absolute error), (ii) RMSE of model-implied unsecured funding spreads versus observed, (iii) default-prediction AUC and log-loss on realized defaults, (iv) statistical difference in implied L* between models (t-test/credible interval), (v) sensitivity of policy-relevant outputs to priors (Sobol indices). Ablation studies: remove subsidy terms (ψ_dep,p_bail), set s_liq′=0, replace structural PD′ with reduced-form PD′; vary Merton horizon T ∈ {0.5,1,2,3} years. Report results for cross-country subsamples and present counterfactuals mapping L* to CET1/AT1/T2 for representative bank archetypes.</w:t>
      </w:r>
    </w:p>
    <w:p>
      <w:r>
        <w:t xml:space="preserve"> </w:t>
      </w:r>
    </w:p>
    <w:p>
      <w:pPr>
        <w:pStyle w:val="Heading2"/>
      </w:pPr>
      <w:r>
        <w:t>Risk Factors And Limitations</w:t>
      </w:r>
    </w:p>
    <w:p>
      <w:r>
        <w:t>1) Endogeneity and weak instruments: subsidy measures (p_bail) correlate with political selection; instruments may be weak causing biased IV estimates. 2) Measurement error: Merton inversion requires reliable option/CDS data; many banks lack liquid options and CDS, producing noisy A and σ_A. 3) Model misspecification: chosen s_liq functional forms or single-period static framework may fail to capture true state-dependent, dynamic liquidity feedbacks. 4) Structural breaks: crisis periods may violate stationarity and market-price-of-risk assumptions, impairing PD translation from risk-neutral to physical. 5) Data heterogeneity: cross-country differences in RWAs, accounting rules, and resolution regimes limit generalization. 6) Computational: Monte Carlo over high-dimensional priors and nested root-finding can be CPU intensive and slow. 7) Policy interpretation limits: mapping L* to regulatory capital depends on assumed RWAs and eligibility rules; mis-specification could misstate CET1 implications.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