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sustained_satisfaction_revenue_effects</w:t>
      </w:r>
    </w:p>
    <w:p>
      <w:r>
        <w:t xml:space="preserve"> </w:t>
      </w:r>
    </w:p>
    <w:p>
      <w:pPr>
        <w:pStyle w:val="Heading2"/>
      </w:pPr>
      <w:r>
        <w:t>Title</w:t>
      </w:r>
    </w:p>
    <w:p>
      <w:r>
        <w:t>Fixed-effects, instrumental-variable, and causal-ML analysis of the sustained individual-level impact of customer satisfaction on bank revenue</w:t>
      </w:r>
    </w:p>
    <w:p>
      <w:r>
        <w:t xml:space="preserve"> </w:t>
      </w:r>
    </w:p>
    <w:p>
      <w:pPr>
        <w:pStyle w:val="Heading2"/>
      </w:pPr>
      <w:r>
        <w:t>Short Hypothesis</w:t>
      </w:r>
    </w:p>
    <w:p>
      <w:r>
        <w:t>A one standard-deviation increase in a customer's latent satisfaction score at survey date causes a positive increase in that customer's annual log total bank revenue in the following 12 months.</w:t>
      </w:r>
    </w:p>
    <w:p>
      <w:r>
        <w:t xml:space="preserve"> </w:t>
      </w:r>
    </w:p>
    <w:p>
      <w:pPr>
        <w:pStyle w:val="Heading2"/>
      </w:pPr>
      <w:r>
        <w:t>Related Work</w:t>
      </w:r>
    </w:p>
    <w:p>
      <w:r>
        <w:t>Prior studies report correlations between customer satisfaction and firm revenue using aggregated data or short panels, and some use instrumental variables or panel estimators to address endogeneity. Existing approaches often rely on coarse geographic or branch-level aggregates, cross-sectional designs, or short follow-up windows, leaving open questions about individual-level persistence, nonlinear dose–response across satisfaction tiers, measurement error in satisfaction, attrition/linkage bias, and finite-sample weaknesses of panel-IV estimators. Causal-ML methods (e.g., causal forests) have been used to discover heterogeneity but are not always tied to a pre-specified per-unit causal estimand or validated with measurement-error correction. Overall gaps include limited linked survey-transaction datasets at the individual level, insufficient pre-registered identification rules, weak-instrument power quantification, and incomplete sensitivity analyses for linkage and missingness.</w:t>
      </w:r>
    </w:p>
    <w:p>
      <w:r>
        <w:t xml:space="preserve"> </w:t>
      </w:r>
    </w:p>
    <w:p>
      <w:pPr>
        <w:pStyle w:val="Heading2"/>
      </w:pPr>
      <w:r>
        <w:t>Abstract</w:t>
      </w:r>
    </w:p>
    <w:p>
      <w:r>
        <w:t>This study measures whether and how higher customer satisfaction causes sustained individual-level bank revenue growth over one to four years. Using linked survey responses and transaction records for 19,060 Swedish retail customers, we estimate the within-customer marginal effect of latent satisfaction on next-year log total revenue (t+1) and cumulative growth across four non-overlapping 12-month windows (t+1–t+4). The primary approach combines customer fixed-effects with distributed lags, pre-registered event-study pre-trend tests, and instrumental-variable analyses using quasi-exogenous service shocks (IT outages, branch changes, rollout timing) with Conley sensitivity bounds. To address measurement error we build a latent satisfaction score (confirmatory factor analysis), estimate test–retest reliability, and apply attenuation correction and SIMEX. Nonlinear dose–response and heterogeneity are explored with GAMs and honest causal forests cross-validated against the primary estimand. Deliverables include preregistered timing/linkage rules, attrition adjustments (IPW, Lee bounds, joint survival), MDEs for IV and subgroup targets, and reproducible code. Expected outcomes are robust estimates of sustained revenue effects per 1 SD satisfaction and validated heterogeneity across satisfaction tiers.</w:t>
      </w:r>
    </w:p>
    <w:p>
      <w:r>
        <w:t xml:space="preserve"> </w:t>
      </w:r>
    </w:p>
    <w:p>
      <w:pPr>
        <w:pStyle w:val="Heading2"/>
      </w:pPr>
      <w:r>
        <w:t>Methodology</w:t>
      </w:r>
    </w:p>
    <w:p>
      <w:r>
        <w:t>1) Data linkage and timing: deterministically match where IDs exist; otherwise probabilistic Fellegi–Sunter matching. Define each respondent's survey date D; annual outcome t+1 = revenue aggregated from month(D)+1 through month(D)+12; distributed lags use consecutive non-overlapping 12-month windows. Flag partial windows. 2) Latent satisfaction: fit a confirmatory factor analysis (CFA) to survey items to produce a single latent score; scale the score to standard-deviation (SD) units so "1 SD" is interpretable. CFA (a statistical model that finds a hidden common factor behind survey items) includes invariance checks across strata. 3) Primary estimator: within-customer fixed-effects regression of log total revenue on latent satisfaction, controlling for time fixed effects and time-varying covariates (product counts, balances, pricing indicators). Include distributed lags to measure persistence. 4) Instrumental strategy: predefine instruments (IT outages, branch openings/closures, staggered rollout) with explicit exposure assignment rules and event windows; implement 2SLS and report first-stage F, Hansen J, AR tests. Use Conley bounds to allow small direct instrument effects. 5) Measurement-error corrections: estimate test–retest reliability in a ~10% recontact subsample and apply attenuation correction (divide coefficient by reliability) and SIMEX (simulate extra noise and extrapolate) to adjust estimates. 6) Nonlinear/heterogeneity: fit GAMs (generalized additive models with smooth splines) for dose–response and honest causal forests (a machine-learning method for estimating treatment effect heterogeneity) with cross-fitting (e.g., 5 folds) that preserve the per-unit latent-satisfaction estimand. 7) Missing data and attrition: multiple imputation by chained equations (M=20), stabilized inverse-probability weighting (IPW) for follow-up, Lee bounds, and a joint survival/outcome model for sensitivity. 8) Inference: cluster SEs at customer level, use two-way clustering for assignment-unit IVs, wild-cluster bootstrap if few clusters, and report robust diagnostics.</w:t>
      </w:r>
    </w:p>
    <w:p>
      <w:r>
        <w:t xml:space="preserve"> </w:t>
      </w:r>
    </w:p>
    <w:p>
      <w:pPr>
        <w:pStyle w:val="Heading2"/>
      </w:pPr>
      <w:r>
        <w:t>Experiments</w:t>
      </w:r>
    </w:p>
    <w:p>
      <w:r>
        <w:t>Dataset: linked survey and transaction records for N=19,060 Swedish retail customers with a validation subsample ≈1,900 (10%) recontacted within 4–8 weeks. Endpoints: (A) annual log total revenue t+1, (B) cumulative log revenue t+1–t+4, and decomposed components (net interest, fees/commissions, other). Baselines: pooled OLS, customer fixed-effects (FE), FE + distributed lags, system GMM (lags 2–4, collapsed), 2SLS IV using each instrument, LIML as alternative finite-sample IV, and causal-ML methods (GAMs, causal forest). Evaluation metrics: point estimates and 95% CIs for primary endpoints, first-stage F-statistics, Hansen J p-values, AR(1)/AR(2) tests, root-mean-square error (RMSE) for predictive fit, coverage of CIs in bootstrap, and MDE/power calculations for main and subgroup analyses. Experimental setup: preregistered inclusion rules (&gt;=12 months post-survey for t+1), imputation M=20, clustering at customer level, cross-fitting with 5 folds for causal-ML, bootstrapping 1,000 reps for CIs, and DP/noise withheld during primary inference checks. Ablations and comparisons: (1) measurement-error correction ON vs OFF (attenuation/SIMEX), (2) linkage quality thresholds: include all matches vs score&gt;=0.90 vs score&gt;=0.95, (3) IV vs FE: compare FE estimates to IV-LATE for each instrument and to LIML when GMM diagnostics fail, (4) causal-ML ablation: causal forest with vs without latent-score CFA input, and (5) attrition adjustment: IPW vs Lee bounds vs joint survival. Report table with estimates, diagnostics, and sample sizes for each experimental condition.</w:t>
      </w:r>
    </w:p>
    <w:p>
      <w:r>
        <w:t xml:space="preserve"> </w:t>
      </w:r>
    </w:p>
    <w:p>
      <w:pPr>
        <w:pStyle w:val="Heading2"/>
      </w:pPr>
      <w:r>
        <w:t>Risk Factors And Limitations</w:t>
      </w:r>
    </w:p>
    <w:p>
      <w:r>
        <w:t>1) Weak instruments: candidate shocks may have weak first-stage relationships, producing imprecise or biased IV-LATE estimates. 2) Anticipation/reverse causality: revenue changes before survey could drive satisfaction, violating exclusion and biasing FE or IV results. 3) Measurement error: imperfect satisfaction measurement reduces estimated effects (attenuation) and requires reliable validation subsample; small validation N limits correction precision. 4) Linkage failures: probabilistic matching errors can produce differential attrition by satisfaction tier, biasing estimates. 5) Attrition and missingness: selective follow-up may violate assumptions for IPW and MI, producing residual selection bias. 6) Finite-sample GMM/IV limitations: instrument proliferation or few clusters can invalidate GMM diagnostics and inference. 7) Causal-ML overfitting: causal forests and GAMs may detect spurious heterogeneity without adequate cross-validation and mapping back to the primary estimand. 8) Privacy noise: differential privacy or redaction may reduce usable signal and widen CIs. 9) Generalizability: results from Swedish retail customers may not transfer to different banking systems or populations. 10) Compute and scalability: system GMM, SIMEX, causal forests, and extensive bootstrapping require substantial compute and may slow iteration.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