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ecb_climate_bank_eventstudy</w:t>
      </w:r>
    </w:p>
    <w:p>
      <w:r>
        <w:t xml:space="preserve"> </w:t>
      </w:r>
    </w:p>
    <w:p>
      <w:pPr>
        <w:pStyle w:val="Heading2"/>
      </w:pPr>
      <w:r>
        <w:t>Title</w:t>
      </w:r>
    </w:p>
    <w:p>
      <w:r>
        <w:t>Event-study analysis of ECB climate-related announcements on European banks' stock returns</w:t>
      </w:r>
    </w:p>
    <w:p>
      <w:r>
        <w:t xml:space="preserve"> </w:t>
      </w:r>
    </w:p>
    <w:p>
      <w:pPr>
        <w:pStyle w:val="Heading2"/>
      </w:pPr>
      <w:r>
        <w:t>Short Hypothesis</w:t>
      </w:r>
    </w:p>
    <w:p>
      <w:r>
        <w:t>ECB climate-related announcements cause measurable cumulative abnormal returns (CARs) on bank stocks in the [-1,+1] trading-day window: supervisory-tightening announcements produce negative CARs, supportive/green announcements produce positive CARs, and CAR magnitudes are larger for ECB-supervised and eurozone banks.</w:t>
      </w:r>
    </w:p>
    <w:p>
      <w:r>
        <w:t xml:space="preserve"> </w:t>
      </w:r>
    </w:p>
    <w:p>
      <w:pPr>
        <w:pStyle w:val="Heading2"/>
      </w:pPr>
      <w:r>
        <w:t>Related Work</w:t>
      </w:r>
    </w:p>
    <w:p>
      <w:r>
        <w:t>Prior work applies event-study methods to central bank communications and climate policy signals, and examines bank sensitivity to physical and transition risks. Existing studies typically use single-event or pooled-event designs, standard expected-return models (market model, CAPM, Fama–French), and basic clustering or parametric tests. Limitations include fragile inference with few events and clustered dependence, limited pre-registration of identification choices, inconsistent handling of overlapping or simultaneous announcements, sparse use of validated automated coding for announcement content, insufficient mediation analysis with credit/liquidity indicators, and incomplete power calculations that account for intra-event correlation and heterogeneous firm participation.</w:t>
      </w:r>
    </w:p>
    <w:p>
      <w:r>
        <w:t xml:space="preserve"> </w:t>
      </w:r>
    </w:p>
    <w:p>
      <w:pPr>
        <w:pStyle w:val="Heading2"/>
      </w:pPr>
      <w:r>
        <w:t>Abstract</w:t>
      </w:r>
    </w:p>
    <w:p>
      <w:r>
        <w:t>We study how ECB climate-related communications affect European banks' stock returns using an event-study approach. We pre-register a single primary test: market-model cumulative abnormal return (CAR) on the [-1,+1] trading-day window with estimation window [-260,-11] and STOXX Europe 600 Banks as benchmark. We use five high-prominence, time-stamped ECB announcements that are human-coded for type and intensity and replicated with a domain-adapted BERT classifier. Primary inference combines wild-cluster bootstrap clustered by event and exact randomization inference that preserves monthly blocks. We report event-level CAR distributions, event-weighted aggregates, and heterogeneity by ECB-supervision, eurozone membership, climate-exposure proxies, and bank financials. We triangulate channels with CDS spreads, bond yields, and implied volatility. The main contribution is a fully pre-registered, reproducible pipeline that addresses small-cluster inference, robust coding of announcement content, and concrete economic translations of CARs, producing credible evidence on whether ECB climate signaling re-prices banks and which institutions are most affected.</w:t>
      </w:r>
    </w:p>
    <w:p>
      <w:r>
        <w:t xml:space="preserve"> </w:t>
      </w:r>
    </w:p>
    <w:p>
      <w:pPr>
        <w:pStyle w:val="Heading2"/>
      </w:pPr>
      <w:r>
        <w:t>Methodology</w:t>
      </w:r>
    </w:p>
    <w:p>
      <w:r>
        <w:t>1) Event selection: assemble candidate ECB climate announcements with exact timestamps and media visibility; lock five events by objective criteria (official channel, explicit climate content, timestamp). 2) Content coding: human coders label type (supervisory tightening, supportive/green, information) and intensity on a 0–5 scale; double-code 25–30% for reliability (Krippendorff's alpha target ≥0.8). Train a domain-BERT classifier on human labels and produce probabilities and SHAP explainability diagnostics. 3) Return construction: collect daily (and intraday if available) prices adjusted for corporate actions, convert to EUR, compute log returns. 4) Expected returns: estimate market model parameters per firm on STOXX Europe 600 Banks using [-260,-11]; implement CAPM and Fama–French Europe 3/5 as robustness; optionally use GARCH-adjusted firm models to account for volatility clustering (GARCH models estimate time-varying volatility). 5) Primary test: compute CAR on [-1,+1] per firm per event; aggregate using stacked-event design to produce event-level CARs. Primary inference: wild-cluster bootstrap clustered by event (Rademacher) and exact randomization inference that permutes event dates preserving monthly blocks. 6) Heterogeneity: regress CAR_i on intensity and bank covariates (size, leverage, climate-exposure proxies, SI/LSI flags), infer with wild-cluster bootstrap. 7) Mediation: incorporate CDS spreads, bank bond yields, and implied volatility as mediators and report bootstrap mediation estimates. 8) Power and MDE: compute empirical AR SD by event and produce event-specific and pooled MDEs accounting for intra-event correlation. 9) Pre-specify exclusion rules for proximate earnings/M&amp;A/macro releases and intraday timestamp rules (last-tick synchronization when using intraday). 10) Reproducibility: deliver containerized pipeline, codebook, seeds, synthetic data, and OSF pre-registration.</w:t>
      </w:r>
    </w:p>
    <w:p>
      <w:r>
        <w:t xml:space="preserve"> </w:t>
      </w:r>
    </w:p>
    <w:p>
      <w:pPr>
        <w:pStyle w:val="Heading2"/>
      </w:pPr>
      <w:r>
        <w:t>Experiments</w:t>
      </w:r>
    </w:p>
    <w:p>
      <w:r>
        <w:t>Datasets: daily and intraday equity prices for European banks (Bloomberg/Refinitiv), STOXX Europe 600 and STOXX Banks indices, bank fundamentals (size, leverage, liquidity), climate-exposure proxies (loan-share to carbon-intensive sectors mapped by NACE, financed emissions, third-party transition-risk scores), CDS spreads, bank bond yields, equity implied volatility, ECB/SSM announcement texts and timestamps, and media-visibility counts (Reuters/Bloomberg article counts). Baselines: null/placebo (randomized non-climate ECB releases matched by visibility), alternative expected-return models (CAPM, Fama–French Europe 3/5, local-market benchmarks), alternative inference (asymptotic t-tests, Corrado rank test). Metrics: CAR values (percentage), p-values from wild-cluster bootstrap and exact randomization inference, multiple-testing-adjusted p-values (Bonferroni for primary family, Benjamini–Hochberg for secondary), effect sizes in market-cap wealth change, MDEs, classifier performance (precision/recall/F1), inter-coder reliability (Krippendorff alpha). Setup: construct primary sample of banks with ≥200 trading days in estimation window and sufficient liquidity; compute firm-day abnormal returns and cumulative CAR on [-1,+1] for each of five events; run primary aggregate test (stacked-event) with wild-cluster bootstrap and randomization inference (≥5,000 permutations preserving month blocks). Heterogeneity tests: regress CAR on intensity and covariates with bootstrap CIs. Ablation studies: A) remove events flagged as simultaneous/confounded and re-run tests; B) switch aggregation from stacked-event to pooled panel with firm and calendar-day fixed effects and two-way clustering; C) replace human labels with domain-BERT labels and compare CAR heterogeneity estimates (this tests sensitivity to coding). Report all adjusted and unadjusted statistics and event-level CAR distributions.</w:t>
      </w:r>
    </w:p>
    <w:p>
      <w:r>
        <w:t xml:space="preserve"> </w:t>
      </w:r>
    </w:p>
    <w:p>
      <w:pPr>
        <w:pStyle w:val="Heading2"/>
      </w:pPr>
      <w:r>
        <w:t>Risk Factors And Limitations</w:t>
      </w:r>
    </w:p>
    <w:p>
      <w:r>
        <w:t>1) Small number of events (five) makes cluster-robust inference fragile and reduces power; inference will depend on permutation designs and may lack precision. 2) Simultaneous or overlapping announcements and proximate firm news can confound CAR estimates if exclusion rules fail or intensity thresholds are mis-specified. 3) Announcement timestamps outside trading hours and imperfect intraday synchronization can bias measured returns when intraday data are unavailable. 4) Missing or noisy climate-exposure proxies and imputation choices may bias heterogeneity results; multiple imputation may not fully remove selection bias. 5) Thinly traded stocks and stale prices can distort abnormal return calculations for some banks. 6) Licensing constraints on proprietary data may limit public replication; synthetic or aggregated outputs may reduce reproducibility. 7) Computational cost: bootstrap and permutation inference plus NLP training are compute-intensive. 8) Generalization: results apply to the chosen five ECB announcements and sampled banks; conclusions may not generalize to other announcements, jurisdictions, or later time periods. 9) Classifier and human-coding errors can mislabel announcement types or intensity, affecting heterogeneity tests.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