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esif_tfp_spatial_dynamics</w:t>
      </w:r>
    </w:p>
    <w:p>
      <w:r>
        <w:t xml:space="preserve"> </w:t>
      </w:r>
    </w:p>
    <w:p>
      <w:pPr>
        <w:pStyle w:val="Heading2"/>
      </w:pPr>
      <w:r>
        <w:t>Title</w:t>
      </w:r>
    </w:p>
    <w:p>
      <w:r>
        <w:t>Spatial instrumental-variables analysis of how EU cohesion funds affect regional total factor productivity growth (2000–2019)</w:t>
      </w:r>
    </w:p>
    <w:p>
      <w:r>
        <w:t xml:space="preserve"> </w:t>
      </w:r>
    </w:p>
    <w:p>
      <w:pPr>
        <w:pStyle w:val="Heading2"/>
      </w:pPr>
      <w:r>
        <w:t>Short Hypothesis</w:t>
      </w:r>
    </w:p>
    <w:p>
      <w:r>
        <w:t>An increase in annual per-capita ESIF absorption causally increases regional total factor productivity growth in the same region and its neighbours, with effect sizes differing by fund type and by the three periods 2000–2008, 2008–2014, and 2014–2019.</w:t>
      </w:r>
    </w:p>
    <w:p>
      <w:r>
        <w:t xml:space="preserve"> </w:t>
      </w:r>
    </w:p>
    <w:p>
      <w:pPr>
        <w:pStyle w:val="Heading2"/>
      </w:pPr>
      <w:r>
        <w:t>Related Work</w:t>
      </w:r>
    </w:p>
    <w:p>
      <w:r>
        <w:t>Existing studies estimate cohesion policy effects using panel fixed effects, difference-in-differences, or IV exploiting eligibility rules. Spatial econometric papers show regional spillovers but often use cross-section or short panels. Work on TFP typically assumes homogeneous capital accumulation or uses national-level capital shares; few papers construct region-specific capital stocks with state-space methods. Common weaknesses are: (1) limited attention to spatial spillovers combined with causal IV strategies, (2) scarce use of continuous annual absorption as the treatment (most use binary eligibility), (3) inadequate treatment of measurement error in administrative absorption and capital series, (4) weak pre-specified rules for spatial-weight selection that risk data-snooping, and (5) sparse dynamic analysis across crisis/recovery phases. These gaps leave open whether fund-specific absorptions produce direct and indirect TFP gains when capital is measured heterogeneously and when spatial dependence is properly instrumented.</w:t>
      </w:r>
    </w:p>
    <w:p>
      <w:r>
        <w:t xml:space="preserve"> </w:t>
      </w:r>
    </w:p>
    <w:p>
      <w:pPr>
        <w:pStyle w:val="Heading2"/>
      </w:pPr>
      <w:r>
        <w:t>Abstract</w:t>
      </w:r>
    </w:p>
    <w:p>
      <w:r>
        <w:t>We study whether and how European Structural and Investment Funds (ESIFs) changed regional total factor productivity (TFP) growth across 262 NUTS2 regions from 2000 to 2019. We estimate the marginal causal effect of continuous annual per-capita ESIF absorption on annual TFP growth, disaggregating by fund type (ERDF, ESF, CF, EAFRD) and by three temporal phases (2000–2008, 2008–2014, 2014–2019). The approach combines: (i) region-specific TFP constructed with a Perpetual Inventory Method and Kalman smoothing to allow heterogeneous capital accumulation; (ii) an instrumental-variables strategy using eligibility/phasing rules, lagged programmed shares, and administrative lag measures to address endogeneity; and (iii) spatial panel models (Spatial Durbin Model) to decompose direct and spillover effects. We pre-specify spatial weight matrices and selection rules, event-study checks, local projections for dynamics, and Monte Carlo calibration for estimator choice. Expected contributions are credible fund-level causal estimates, mapped direct and indirect productivity impacts, and policy-relevant counterfactuals for reallocating cohesion resources.</w:t>
      </w:r>
    </w:p>
    <w:p>
      <w:r>
        <w:t xml:space="preserve"> </w:t>
      </w:r>
    </w:p>
    <w:p>
      <w:pPr>
        <w:pStyle w:val="Heading2"/>
      </w:pPr>
      <w:r>
        <w:t>Methodology</w:t>
      </w:r>
    </w:p>
    <w:p>
      <w:r>
        <w:t>1) Data harmonisation: fix a NUTS2 base version and build a balanced panel of 262 regions for 2000–2019. Keep original geometries and a harmonised set; record all reallocation rules (use population weights when splitting regions). 2) TFP construction: compute regional TFP growth from a Cobb–Douglas production idea (output = f(labor, capital)). Build capital stocks per region and asset type with Perpetual Inventory Method (PIM) and also a Kalman-filtered state-space variant; test depreciation rates (e.g., 3–10%). Explain technical terms: PIM accumulates past investment into a stock; Kalman filter smooths noisy series. 3) Baseline panel: estimate ΔTFP_it = α + β A_it + γ'X_it + μ_i + λ_t + ε_it where A_it is annual per-capita absorption (by fund), μ_i are region fixed effects, and λ_t are year fixed effects. 4) Instruments: pre-register instruments (eligibility/phasing dummies, lagged programmed shares, commitment→payment lags, political timing) and record causal diagrams (DAGs) that show why each instrument is plausibly exogenous. 5) Spatial model: estimate Spatial Durbin Model (SDM) with two-way FE: ΔTFP_it = ρ W ΔTFP_it + β A_it + θ W A_it + γ'X_it + μ_i + λ_t + ε_it. Pre-compute W matrices (Queen/Rook contiguity, inverse-distance, k-NN, economic-distance). 6) Effects decomposition: use LeSage–Pace methods to report direct, indirect (spillover), and total impacts. 7) Dynamics: run event-studies and local projections (LP) to trace impulse responses; complement with system GMM if Monte Carlo supports it. 8) Diagnostics: first-stage F, Kleibergen–Paap, Hansen J, Moran’s I, LM tests, and out-of-sample CV for W selection. 9) Inference: cluster by country, report spatial HAC where supported, and apply FDR over pre-defined hypothesis families. 10) Reproducibility: publish code, W matrices, shapefiles, seeds, and a toy example.</w:t>
      </w:r>
    </w:p>
    <w:p>
      <w:r>
        <w:t xml:space="preserve"> </w:t>
      </w:r>
    </w:p>
    <w:p>
      <w:pPr>
        <w:pStyle w:val="Heading2"/>
      </w:pPr>
      <w:r>
        <w:t>Experiments</w:t>
      </w:r>
    </w:p>
    <w:p>
      <w:r>
        <w:t>Datasets: DG REGIO and national portals for annual absorption by fund; Eurostat regional accounts for output and investment; LFS for labor inputs; EU KLEMS and national accounts for asset-level investments; GIS from Eurostat/GISCO. Sample: 262 NUTS2 regions, 2000–2019. Primary estimand and scaling: marginal effect β = change in annual ΔTFP (percentage points) per €1,000 per-capita increase in annual absorption; report β overall and period-specific β_p for 2000–2008, 2008–2014, 2014–2019. Baseline models: (A) two-way FE OLS, (B) panel IV (two-stage least squares) with pre-registered instruments, (C) spatial SDM two-way FE (no IV), (D) spatial IV-SDM (instrument both A_it and W A_it where needed). Robustness models: SDEM, SAR, and differences in capital stock (PIM vs Kalman). Baselines for comparison: eligibility-based DiD using threshold dummies and continuous-program share regressions. Evaluation metrics: point estimates and clustered SEs, first-stage F and partial R2, Kleibergen–Paap, Hansen J p-values, Moran’s I for residuals, out-of-sample one-step-ahead spatial CV RMSE for W selection, and power/MDE tables. Ablation studies: (1) remove spatial lag terms to test spillover importance, (2) swap capital construction method (PIM vs Kalman), (3) vary instrument sets (eligibility only vs programmed shares vs combined), (4) dynamic estimator ablation (local projections vs system GMM). Validation: 1,000 permutation placebo draws, McCrary density tests near eligibility cutoffs, and Monte Carlo calibration using empirical moments (observed ρ and var(ΔTFP)). Cross-validation for W: rolling-window time-split folds that never use future outcomes (train up to t-2, validate t-1), repeated across periods. Report all results with pre-registered primary outcomes and secondary tables for robustness.</w:t>
      </w:r>
    </w:p>
    <w:p>
      <w:r>
        <w:t xml:space="preserve"> </w:t>
      </w:r>
    </w:p>
    <w:p>
      <w:pPr>
        <w:pStyle w:val="Heading2"/>
      </w:pPr>
      <w:r>
        <w:t>Risk Factors And Limitations</w:t>
      </w:r>
    </w:p>
    <w:p>
      <w:r>
        <w:t>1) Instrument invalidity: instruments may violate exclusion restrictions and produce biased IV estimates. 2) Measurement error: administrative absorption and regional investment series can be noisy, leading to attenuation bias. 3) Harmonisation errors: NUTS boundary changes and apportionment rules may induce mismeasurement. 4) Spatial-weight selection risk: choosing W using outcome-driven rules can lead to data-snooping if CV is not strictly time-split. 5) Limited power in subgroups: detecting effects for terciles or fund×period cells may be underpowered. 6) Remaining endogeneity: unobserved time-varying shocks correlated with both absorption and productivity may persist. 7) Computational cost: spatial-IV SDM estimation and Monte Carlo grids are compute-intensive. 8) External validity: results for 2000–2019 NUTS2 regions may not generalise to future programming periods or to different spatial scales. 9) Dynamic/spillover complexity: decomposing long-run multipliers in a spatial dynamic model can be sensitive to specification and may double-count effects if not computed carefully.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