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capacitated_reliable_fcfl_relax_and_fix</w:t>
      </w:r>
    </w:p>
    <w:p>
      <w:r>
        <w:t xml:space="preserve"> </w:t>
      </w:r>
    </w:p>
    <w:p>
      <w:pPr>
        <w:pStyle w:val="Heading2"/>
      </w:pPr>
      <w:r>
        <w:t>Title</w:t>
      </w:r>
    </w:p>
    <w:p>
      <w:r>
        <w:t>Relax-and-fix heuristic and linearized formulations for capacitated reliable fixed-charge facility location problems with site-dependent failures</w:t>
      </w:r>
    </w:p>
    <w:p>
      <w:r>
        <w:t xml:space="preserve"> </w:t>
      </w:r>
    </w:p>
    <w:p>
      <w:pPr>
        <w:pStyle w:val="Heading2"/>
      </w:pPr>
      <w:r>
        <w:t>Short Hypothesis</w:t>
      </w:r>
    </w:p>
    <w:p>
      <w:r>
        <w:t>Applying a relax-and-fix heuristic to a state-specific linearized mixed-integer formulation with facility-specific tight expansion bounds reduces average optimality gap by at least 5 percentage points and runtime by at least 50% relative to solving the full mixed-integer program on medium-scale instances (I≤100, J≤250) under SAA with 1,000 scenarios.</w:t>
      </w:r>
    </w:p>
    <w:p>
      <w:r>
        <w:t xml:space="preserve"> </w:t>
      </w:r>
    </w:p>
    <w:p>
      <w:pPr>
        <w:pStyle w:val="Heading2"/>
      </w:pPr>
      <w:r>
        <w:t>Related Work</w:t>
      </w:r>
    </w:p>
    <w:p>
      <w:r>
        <w:t>Prior work addresses capacitated facility location and reliable facility location using both nonlinear and linear formulations, scenario-based stochastic programming, Sample Average Approximation (SAA), and heuristics such as greedy and relax-and-fix. Existing linearizations often rely on large big-M coefficients that weaken LP relaxations. Many papers model reliability with homogeneous failure rates or omit optional capacity expansion under disruption. Relax-and-fix has been applied broadly but typically without systematic partition schemes, tight bound oracles, or prioritized valid inequalities for this problem. Scenario generation and correlation modeling are often simplistic, and published computational studies lack standardized reproducible artifacts. Open issues include loose relaxations from big-M, insufficient cuts for flow-capacity coupling, limited RA tuning and robustness evidence, and scarce guidance on SAA sample sizes for reliability tail metrics.</w:t>
      </w:r>
    </w:p>
    <w:p>
      <w:r>
        <w:t xml:space="preserve"> </w:t>
      </w:r>
    </w:p>
    <w:p>
      <w:pPr>
        <w:pStyle w:val="Heading2"/>
      </w:pPr>
      <w:r>
        <w:t>Abstract</w:t>
      </w:r>
    </w:p>
    <w:p>
      <w:r>
        <w:t>We study a capacitated reliable fixed-charge facility location problem where each candidate facility has a site-dependent failure probability and optional emergency capacity expansion for disrupted states. We derive a two-state mixed-integer model with separate flows for normal and failure states and present an exact linear reformulation that replaces bilinear activation terms with state-specific flows and tight facility-specific expansion bounds. To solve the resulting NP-hard model at scale, we develop a relax-and-fix heuristic that partitions customers (geographic, demand, and reliability-driven), fixes subsets of binary decisions, and reoptimizes flows and expansions, using soft-fix penalties and warm starts. We propose automated bound-oracles for computing tight big-M substitutes, implement three classes of valid inequalities (flow-cover, facility-dominance, global lifted capacity), and provide an SAA protocol for stochastic evaluation including group-shock correlation. Expected outcomes are tighter relaxations, scalable heuristics with provable empirical improvement in gap/time trade-offs, and a reproducible computational toolkit for assessing supply-chain resilience under site-specific disruptions.</w:t>
      </w:r>
    </w:p>
    <w:p>
      <w:r>
        <w:t xml:space="preserve"> </w:t>
      </w:r>
    </w:p>
    <w:p>
      <w:pPr>
        <w:pStyle w:val="Heading2"/>
      </w:pPr>
      <w:r>
        <w:t>Methodology</w:t>
      </w:r>
    </w:p>
    <w:p>
      <w:r>
        <w:t>1) Model formulation: build a two-state stochastic model with Normal and Failure states. Use state-specific continuous flow variables x^N_ij and x^F_ij for flow from facility i to customer j in each state. Use binary variables y_i (facility open) and u_i (enable emergency capacity). Let s_i be continuous emergency expansion.</w:t>
        <w:br/>
        <w:br/>
        <w:t>2) Linearization: enforce per-state capacity constraints Σ_j x^N_ij ≤ cap_i y_i and Σ_j x^F_ij ≤ r_i cap_i y_i + s_i. Enforce expected demand Σ_i[(1−p_i)x^N_ij + p_i x^F_ij] ≥ d_j for all customers j. Replace bilinear links (y_i·u_i) by upper bounds s_i ≤ S_i^UB y_i and s_i ≤ S_i^UB u_i, where S_i^UB is computed by a bound-oracle.</w:t>
        <w:br/>
        <w:br/>
        <w:t>3) Bound-oracle: for each facility i solve a small LP that maximizes assignable demand to i subject to demand caps and relaxed competitor capacities; set S_i^UB := min{expansion_budget_i, max(0, LP_result − r_i cap_i)}. This yields tight, computable big-M substitutes. Explain: an LP is a linear program, a fast solver step to get tight numbers.</w:t>
        <w:br/>
        <w:br/>
        <w:t>4) Valid inequalities: implement (a) flow-cover cuts that limit the sum of flows to a facility for customer subsets S when Σ_{j∈S}d_j &gt; cap_i y_i + S_i^UB u_i; (b) facility-dominance cuts y_k ≤ y_i when cap_i ≥ cap_k and f_i ≤ f_k; (c) lifted global capacity Σ_i(cap_i y_i + S_i^UB u_i) ≥ Σ_j d_j. Separate these via greedy subset building for flow-cover.</w:t>
        <w:br/>
        <w:br/>
        <w:t>5) Relax-and-fix (RA) heuristic: partition customers into blocks by (i) geography (k-means on coordinates), (ii) demand (descending demand buckets), and (iii) reliability risk (customers mainly served by high-p_i facilities). For each block in an ordered schedule: fix y_i and u_i decisions outside the block (soft-fix allowed), solve the reduced MIP for variables in the block, update incumbent, and proceed. Soft-fix: add linear penalty τ·|y_i − y_i_fixed| to objective to allow revisits; update τ adaptively (increase if block rejections rise, decrease if stable). Warm-starts: pass previous incumbent solution to solver and reuse basis when supported.</w:t>
        <w:br/>
        <w:br/>
        <w:t>6) Adaptive block sizing and ordering: start with blocks of 5–20% of customers. Monitor marginal improvement ΔObj over T iterations; if ΔObj &lt; ε_shrink shrink block by factor γ∈(0,1); if ΔObj &gt; ε_expand expand by 1/γ. Order blocks by reduced-cost impact (largest LP reduced costs) then by total demand.</w:t>
        <w:br/>
        <w:br/>
        <w:t>7) SAA and scenarios: generate scenarios with independent Bernoulli site failures plus optional group shocks (regional events that flip multiple sites). For tail events use importance sampling to upweight rare joint failures. Use SAA to estimate expected cost and CVaR. CI (confidence interval) for means computed from replicate sample statistics.</w:t>
        <w:br/>
        <w:br/>
        <w:t>8) Implementation: encode linear model in Gurobi/CPLEX using indicator constraints or SOS1 where possible; implement bound-oracle LPs and cut separation routines; use solver callbacks for lazy/user cuts. Containerize code (Docker/Singularity) and fix random seeds for reproducibility.</w:t>
      </w:r>
    </w:p>
    <w:p>
      <w:r>
        <w:t xml:space="preserve"> </w:t>
      </w:r>
    </w:p>
    <w:p>
      <w:pPr>
        <w:pStyle w:val="Heading2"/>
      </w:pPr>
      <w:r>
        <w:t>Experiments</w:t>
      </w:r>
    </w:p>
    <w:p>
      <w:r>
        <w:t>Datasets: generate three instance families with fixed seeds and JSON metadata: small (I=10–15, J=20–40), medium (I=50–100, J=100–250), large (I=200–500, J=500–1000). For each family provide geographic coordinates, demands d_j, facility capacities cap_i, failure probabilities p_i (low/medium/high heterogeneity), reduction factors r_i, expansion budgets, and cost parameters.</w:t>
        <w:br/>
        <w:br/>
        <w:t>Scenario generation: produce SAA scenario pools with counts {200, 500, 1000, 2000, 5000}. Include group-shock scenarios (3–10 named events) and independent draws. Use fixed seeds and store scenario files.</w:t>
        <w:br/>
        <w:br/>
        <w:t>Baselines: (A) full linearized MIP solved to termination or time limit; (B) greedy opening heuristic (open cheapest cost-benefit sites until capacity); (C) local-search heuristic that swaps opens/closes; (D) Lagrangian relaxation baseline; (E) relax-and-fix (RA) variants developed here.</w:t>
        <w:br/>
        <w:br/>
        <w:t>Metrics: total expected cost decomposed (fixed, expansion, transport), expected unmet demand (EUD), loss-of-load probability (LOLP) per-customer and system-wide, CVaR95 and CVaR99 of shortage and total cost, runtime, integrality gap (best incumbent minus best MIP lower bound), per-block solve times, and memory usage.</w:t>
        <w:br/>
        <w:br/>
        <w:t>Setup: run experiments on fixed hardware (e.g., 16 CPU cores, 64 GB RAM) with container image and Gurobi/CPLEX license noted. Use solver time limits: small 1 hour, medium 4 hours, large 12 hours. For RA runs allow same wallclock budget but split across RA iterations.</w:t>
        <w:br/>
        <w:br/>
        <w:t>Ablation studies: (1) RA partitioning ablation: compare geography, demand, reliability partitions; (2) cut ablation: RA with and without the three cut classes; (3) bound-oracle ablation: tight S_i^UB vs loose global bound; (4) soft-fix ablation: fixed hard-fix vs soft-fix with τ grid {1e-3,1e-1,1,10}. For each experiment run R=20 independent replicates for SAA sample sizes of 500 and 1000 to estimate CIs.</w:t>
        <w:br/>
        <w:br/>
        <w:t>Statistical analysis: compute paired t-tests and ANOVA across methods with Bonferroni correction. Report mean and 95% CI for primary metrics. Record solver logs, node counts, and callbacks for overhead analysis.</w:t>
      </w:r>
    </w:p>
    <w:p>
      <w:r>
        <w:t xml:space="preserve"> </w:t>
      </w:r>
    </w:p>
    <w:p>
      <w:pPr>
        <w:pStyle w:val="Heading2"/>
      </w:pPr>
      <w:r>
        <w:t>Risk Factors And Limitations</w:t>
      </w:r>
    </w:p>
    <w:p>
      <w:r>
        <w:t>1) Formal equivalence depends on enforcing demand in expectation; if decision-makers require scenario-wise feasibility the linearization is not equivalent and results may understate worst-case shortages.</w:t>
        <w:br/>
        <w:t>2) Bound-oracle misestimation: S_i^UB values that are too loose reduce LP strength; overly conservative bounds increase constraint tightness but may mask feasible expansions.</w:t>
        <w:br/>
        <w:t>3) Solver callback overhead: frequent cut separation and callbacks can slow root processing, increasing runtime; benefit depends on instance structure and must be measured.</w:t>
        <w:br/>
        <w:t>4) Heuristic limits: the RA heuristic has no global optimality guarantee and can converge to poor local solutions if block scheduling or soft-fix tuning is poor.</w:t>
        <w:br/>
        <w:t>5) SAA sampling error: finite scenario samples produce estimation variance; tail metrics like CVaR require large sample sizes, increasing compute cost.</w:t>
        <w:br/>
        <w:t>6) Correlation modeling risk: group-shock proxies may misrepresent true dependence; copula fitting needs extensive historical data and may be misspecified.</w:t>
        <w:br/>
        <w:t>7) Scalability: large instances (I,J in hundreds to thousands) may exceed memory or time budgets for MIP solves and for dense cut separation routines.</w:t>
        <w:br/>
        <w:t>8) Generalization: parameterized defaults (τ, γ, block sizes) may not transfer across domains; automated tuning may be required for new datasets.</w:t>
        <w:br/>
        <w:t>9) Reproducibility depends on solver versions, licenses, and hardware; exact numeric replication may be sensitive to solver tolerances and random seeds.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