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true_pricing_labeling_experiment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randomized 3×2 survey experiment testing absolute and relative true-price labels and credibility seals on consumer food choices in the Netherlands and Denmark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Presenting an absolute monetary true-price label increases the probability that a consumer chooses a lower-externality food product relative to no true-price information.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has examined sustainability and organic labeling, showing labels and third-party seals can shift purchases and trust. Prior work often uses single-country samples, small experiments, observational scanner studies, or non-incentivized choice tasks. Limitations include: inconsistent or non-transparent life-cycle assessment (LCA) monetization, sparse comparison of absolute versus relative price formats, weak control of attention and comprehension, limited cross-country replication, and underpowered designs for interaction tests. Studies rarely combine incentive-compatible choice tasks, full LCA uncertainty propagation, pre-registered multiplicity plans, and stratified cross-country randomization. There is also limited evidence on how credibility signals (seals) interact with label format and on downstream mediation via comprehension or perceived fairness.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how communicating 'true prices'—retail prices adjusted to internalize external environmental and social costs—affects consumer food choices. We run a pre-registered, incentive-compatible online experiment with Dutch and Danish adults, randomly assigning respondents to three label formats (control, absolute monetary true-price, relative percent true-price) crossed with a credibility seal (present/absent). True prices are based on regionally adjusted LCA monetization with Monte Carlo uncertainty bands. The main contribution is a reproducible comparison of presentation formats and a policy-relevant test of a third-party seal, using mixed-effects models that account for within-respondent choice-task clustering and country heterogeneity. Expected outcomes include estimates of intent-to-treat effects on choosing lower-externality products, comprehension and credibility measures, mediation analysis of mechanisms, and power-calibrated minimum detectable effects. Results will inform retailer and regulator decisions on truthful, transparent price-communication at the point of sale.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LCA valuation: compute monetized external costs per product (e.g., GHG, health, biodiversity) using established midpoint-to-damage pipelines and region-specific inputs. Run Monte Carlo draws to get mean true-price and 5th–95th percentile bands. 2) Label construction: produce three label types: control (no true-price), absolute (local-currency true-price with short decomposition), and relative (+% vs conventional price). Prepare versions with and without a third-party seal. 3) Sampling and fielding: recruit balanced online panels in the Netherlands and Denmark with pre-specified quotas for age, gender, education, and environmental-attitude terciles. Collect pre-screened completes inflated by a multiplier for expected attention failures and non-redemptions. 4) Randomization: stratified block randomization by country × attitude tercile into a 3×2 factorial. 5) Task and incentives: each respondent completes eight discrete-choice tasks; implement one randomly for real reward (digital voucher or product shipment). 6) Measurement: primary outcome is binary choice of lower-externality product in the implemented task. Collect mediators (comprehension, perceived credibility, fairness) immediately post-exposure. 7) Analysis: estimate intent-to-treat effects with mixed-effects logistic regression (participant random intercepts) adjusted for covariates; report marginal effects, Holm-corrected primary contrasts, and mediation via the Imai framework. 8) Reproducibility: pre-register code, simulation seeds, LCA workbook, label assets, and deposit to a public repository.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Dataset: online panel of approximately 1,776 pre-field completes to yield ~1,404 final analyzable respondents (≈234 per 3×2 cell) across NL and DK; six food products: beef mince, chicken breast, cheese, apples, wholegrain bread, ready meal; baseline conventional prices sourced from recent country scanner data. Treatment arms: Control, Absolute true-price, Relative true-price crossed with Seal present/absent (3×2). Baselines for comparison: (A) control vs absolute, (B) control vs relative, (C) absolute vs relative; additional baseline: seal absent vs present averaged across labels. Evaluation metrics: primary = ITT difference in probability of choosing lower-externality product in the implemented choice (binary). Secondary = aggregated choice share across tasks, revealed willingness-to-pay (WTP) from price sliders, comprehension accuracy, perceived credibility, perceived fairness, and cognitive load. Statistical models: mixed-effects logistic regression with participant random intercepts and fixed effects for country and covariates; report marginal effects and 95% CIs. Multiple testing: Holm adjustment for three primary contrasts; BH-FDR for families of secondary outcomes. Power and calibration: Monte Carlo simulations (≥2,000 reps per scenario) varying ICC {0,0.05,0.1,0.2} and baseline rates to produce per-contrast MDE tables. Ablation studies: (1) compare seal vs no-seal effects within each label format, (2) compare ITT results to per-protocol results after excluding comprehension failures, (3) sensitivity of effects to LCA valuation scenarios (low/high discount rates). Pre-specified subgroup tests: country, income tercile, environmental-attitude tercile; require minimal cell sizes (≥80 per subgroup cell) for reporting.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errors in LCA monetization pipeline or label rendering that misstate prices; randomization or voucher delivery failures. Data biases: panel non-representativeness, differential attrition, or attention failures leading to selection bias. External validity: online voucher implementation may not reflect actual grocery purchases; retailer behavior and shelf context are not captured. Statistical limits: within-respondent clustering and higher-than-expected ICCs reducing power; small subgroup cells limiting heterogeneity inference. Normative choices: monetization and discount-rate selections are value-laden and may not be accepted by all stakeholders. Comprehension limits: consumers may misinterpret relative vs absolute formats despite pretesting. Legal/regulatory constraints: seal design or claims may conflict with national rules. Scalability: operationalizing true prices across many SKUs is data-intensive and computationally heavy. Generalization: results from NL and DK may not transfer to markets with different price levels, cultures, or retail systems.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