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epistemic_virtue_cluster_rct_abm</w:t>
      </w:r>
    </w:p>
    <w:p>
      <w:r>
        <w:t xml:space="preserve"> </w:t>
      </w:r>
    </w:p>
    <w:p>
      <w:pPr>
        <w:pStyle w:val="Heading2"/>
      </w:pPr>
      <w:r>
        <w:t>Title</w:t>
      </w:r>
    </w:p>
    <w:p>
      <w:r>
        <w:t>Cluster-randomized trial and agent-based modeling to test whether individual epistemic-virtue training improves collective scientific reliability</w:t>
      </w:r>
    </w:p>
    <w:p>
      <w:r>
        <w:t xml:space="preserve"> </w:t>
      </w:r>
    </w:p>
    <w:p>
      <w:pPr>
        <w:pStyle w:val="Heading2"/>
      </w:pPr>
      <w:r>
        <w:t>Short Hypothesis</w:t>
      </w:r>
    </w:p>
    <w:p>
      <w:r>
        <w:t>Providing a virtue-focused training program to research lab clusters causes higher collective research reliability — measured by preregistration completeness, open-data availability and reproducibility, replication success, and correction rates — than incentive-only or no-intervention conditions.</w:t>
      </w:r>
    </w:p>
    <w:p>
      <w:r>
        <w:t xml:space="preserve"> </w:t>
      </w:r>
    </w:p>
    <w:p>
      <w:pPr>
        <w:pStyle w:val="Heading2"/>
      </w:pPr>
      <w:r>
        <w:t>Related Work</w:t>
      </w:r>
    </w:p>
    <w:p>
      <w:r>
        <w:t>Two broad strands inform this proposal. One strand uses structural or incentive explanations for scientific reliability: policy changes (journal badges, TOP policies, funder open-data mandates) and incentive nudges have been studied with quasi-experimental analyses and observational metrics. These approaches show policy-linked shifts in open practices but leave open whether individual dispositions matter or whether effects are sustained. The second strand focuses on measurement and intervention for researcher behavior: replication projects, preregistration audits, and transparency indices provide benchmarks but rely heavily on administrative proxies and lack validated multi-mode measures of individual epistemic virtues (self-report, peer ratings, behavioral logs). Agent-based models of norm diffusion and incentive interaction exist but are often not calibrated to multi-source empirical data and rarely linked to randomized interventions. Limitations across prior work include weak causal micro-to-macro links, scarce cluster-randomized evidence on virtue-focused training, measurement tools lacking cross-discipline invariance, vulnerability to gaming when relying on single-source proxies, and ABMs that are not systematically validated against longitudinal empirical benchmarks.</w:t>
      </w:r>
    </w:p>
    <w:p>
      <w:r>
        <w:t xml:space="preserve"> </w:t>
      </w:r>
    </w:p>
    <w:p>
      <w:pPr>
        <w:pStyle w:val="Heading2"/>
      </w:pPr>
      <w:r>
        <w:t>Abstract</w:t>
      </w:r>
    </w:p>
    <w:p>
      <w:r>
        <w:t>Science faces challenges in reliability that may reflect both incentive structures and the dispositions of individual scientists. This project tests whether training that targets individual epistemic virtues (intellectual honesty, humility, epistemic conscientiousness, curiosity) causally improves collective research reliability. The approach combines a cluster-randomized trial (labs randomized to virtue-focused training, incentive-only interventions, or control), pre-registered quasi-experiments exploiting staggered policy rollouts, and an agent-based model (ABM) calibrated to multi-source empirical benchmarks. Main contributions are: (1) a validated multi-mode measurement battery linking individual virtues to behavioral proxies (preregistration, data sharing, replication involvement); (2) an auditable intervention package with fidelity instruments for use in cluster-RCTs; and (3) a calibrated ABM that maps micro-level virtue distributions to macro-level reliability outcomes. Expected outcomes include causal estimates of training effects on proximal transparency measures and distal replication/correction outcomes, validated measurement instruments, and policy-relevant model counterfactuals to guide scalable reforms.</w:t>
      </w:r>
    </w:p>
    <w:p>
      <w:r>
        <w:t xml:space="preserve"> </w:t>
      </w:r>
    </w:p>
    <w:p>
      <w:pPr>
        <w:pStyle w:val="Heading2"/>
      </w:pPr>
      <w:r>
        <w:t>Methodology</w:t>
      </w:r>
    </w:p>
    <w:p>
      <w:r>
        <w:t>1) Define constructs: give clear operational definitions for four virtues — intellectual honesty (accurate, complete reporting), intellectual humility (openness to revise), epistemic conscientiousness (methodological care and documentation), epistemic curiosity (active search for disconfirming evidence). 2) Measurement battery: create 2–3 self-report items per virtue, 2 peer-rating items, and 3–5 behavioral proxies (preregistration completeness, OSF/project counts, data/code availability, documented corrections, replication participation). Explain technical term: preregistration = publicly recording study plans before data collection. 3) Validate measures: run cognitive interviews (n≈20 per culture), pilot N≈400 across four disciplines, and perform multi-group confirmatory factor analysis (CFA) to test configural, metric, and scalar invariance. Technical term: measurement invariance means the measure works the same way across groups. 4) Intervention package: develop facilitator manual with session scripts (45–90 minutes), participant handouts, homework, fidelity observer checklist (binary and scaled items), facilitator training and certification. 5) Cluster-RCT: randomize labs (clusters) to virtue-training, incentive-only, or control; collect baseline and repeated measures of self-report, peer ratings, and behavioral proxies. 6) Quasi-experiments: register difference-in-differences (DID) analyses around staggered journal and funder policy adoptions and test pre-trends. 7) ABM: map validated measures to agent traits in [0,1], define probabilistic decision rules (e.g., P_share = base + α*conscientiousness − γ*incentive_pressure), run parameter sweeps and calibrate to empirical benchmarks using approximate Bayesian computation (ABC). Technical term: ABC is a way to fit simulation models by comparing simulated and observed summary statistics. 8) Analysis: use multilevel (hierarchical) models for clustered data, intention-to-treat (ITT) and complier-average causal effect (CACE) estimates, event-study plots for DID, and two-stage least squares (2SLS) for IV analyses. Pre-register all materials and code.</w:t>
      </w:r>
    </w:p>
    <w:p>
      <w:r>
        <w:t xml:space="preserve"> </w:t>
      </w:r>
    </w:p>
    <w:p>
      <w:pPr>
        <w:pStyle w:val="Heading2"/>
      </w:pPr>
      <w:r>
        <w:t>Experiments</w:t>
      </w:r>
    </w:p>
    <w:p>
      <w:r>
        <w:t>Datasets: link OSF preregistration logs, Crossref/DOI metadata, journal policy rollout dates, RetractionWatch records, repository audit logs, registered replication datasets, and institutional admin lists of labs and PIs. Pilot sample: N≈400 individuals across four disciplines (psychology, biomedicine, economics, ecology) from ≈100 labs (~4 members/lab) for measurement validation. Cluster-RCT: three arms (virtue-training, incentive-only, control); target 30 clusters per arm, cluster size 5–10 members; total individuals ≈450–900. Baselines: incentive-only (badges/monetary or administrative recognition), historical-control cohorts, and no-intervention control. Primary evaluation metrics: (1) preregistration completeness index (binary preregistered + continuous completeness score 0–1), (2) open-data/code availability (binary) plus reproducibility audit score (0–1), (3) replication success rate in registered replications (binary aggregated at lab), (4) correction/retraction incidence within 36 months (binary). Secondary metrics: time-to-data-sharing, documented deviations from preregistration, peer-rating composites. Statistical models: multilevel mixed-effects models: Y_ij = β0 + β1*T_j + β2*X_ij + u_j + e_ij, where Y_ij outcome for individual i in lab j, T_j treatment indicator, X_ij covariates, u_j lab random effect. ITT and CACE estimation with cluster-robust SEs. DID specification for policy rollouts: Y_it = α + Σ_k δ_k * PostPolicy_k_it + γ_i + τ_t + ε_it with unit fixed effects γ_i and time fixed effects τ_t. IV: first-stage Z→T and 2SLS for LATE with instrument strength F&gt;10. Multiple testing correction: Benjamini-Hochberg false discovery rate (FDR) within outcome families. Power: Monte Carlo assuming ICCs 0.05–0.15, target detectable standardized effect d≈0.25 with 30 clusters/arm and 5–10 members/cluster. Ablation study: compare full composite virtue score (self + peer + behavioral proxies) versus reduced composite that excludes peer ratings to quantify contribution of peer data. Evaluation windows: proximal outcomes at 6–12 months, distal outcomes tracked to 24–36 months. Pre-registration: register all outcomes, models, covariates, and subgroup tests prior to analysis.</w:t>
      </w:r>
    </w:p>
    <w:p>
      <w:r>
        <w:t xml:space="preserve"> </w:t>
      </w:r>
    </w:p>
    <w:p>
      <w:pPr>
        <w:pStyle w:val="Heading2"/>
      </w:pPr>
      <w:r>
        <w:t>Risk Factors And Limitations</w:t>
      </w:r>
    </w:p>
    <w:p>
      <w:r>
        <w:t>Selection bias: labs that agree to participate may differ from nonparticipants, limiting external validity. Measurement error: self-reports and peer ratings may suffer social desirability and rater bias. Gaming: actors may adopt surface-level compliance (e.g., share low-quality code) to pass audits. Data access constraints: editorial logs or institutional admin data may be unavailable due to privacy or legal limits. Power and clustering: higher intra-class correlation (ICC) than expected reduces power; recruiting many clusters is resource-intensive. Heterogeneity: effects may vary widely by discipline and country, limiting pooled inference. ABM limits: calibration may fit aggregate patterns but miss unobserved micro-processes; simulation counterfactuals rely on assumed decision rules. Ethical and reputational risk: linking administrative data and publishing lab-level outcomes may pose privacy and career risks for participants. Scalability: intensive facilitator training and fidelity monitoring may be costly to scale across many institutions.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