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women_tech_founders_visibility_germany</w:t>
      </w:r>
    </w:p>
    <w:p>
      <w:r>
        <w:t xml:space="preserve"> </w:t>
      </w:r>
    </w:p>
    <w:p>
      <w:pPr>
        <w:pStyle w:val="Heading2"/>
      </w:pPr>
      <w:r>
        <w:t>Title</w:t>
      </w:r>
    </w:p>
    <w:p>
      <w:r>
        <w:t>A multimodal qualitative study of how women tech founders in Germany construct visibility and how those repertoires relate to investor and media responses</w:t>
      </w:r>
    </w:p>
    <w:p>
      <w:r>
        <w:t xml:space="preserve"> </w:t>
      </w:r>
    </w:p>
    <w:p>
      <w:pPr>
        <w:pStyle w:val="Heading2"/>
      </w:pPr>
      <w:r>
        <w:t>Short Hypothesis</w:t>
      </w:r>
    </w:p>
    <w:p>
      <w:r>
        <w:t>Women tech founders who primarily adopt an 'undoing' gender visibility repertoire will receive fewer positive investor signals (measured as follow-up investor contacts and term-sheet offers) within 12 weeks than those who primarily adopt a 'doing' gender visibility repertoire.</w:t>
      </w:r>
    </w:p>
    <w:p>
      <w:r>
        <w:t xml:space="preserve"> </w:t>
      </w:r>
    </w:p>
    <w:p>
      <w:pPr>
        <w:pStyle w:val="Heading2"/>
      </w:pPr>
      <w:r>
        <w:t>Related Work</w:t>
      </w:r>
    </w:p>
    <w:p>
      <w:r>
        <w:t>Prior work uses qualitative interviews and case studies to show that women founders negotiate gendered expectations in startup settings and that visibility practices shape resource access. Multimodal studies in media and organizational research analyze images, language, and artifacts but are often small-N, focus on single artifact types (e.g., social media or press), or lack systematic linkage to concrete outcomes like investor actions. Studies of doing/undoing gender provide useful conceptual framings but rarely operationalize reproducible coding rules or temporal links between visible practices and ecosystem responses. Existing methods commonly lack (a) integrated multimodal codebooks tying interviews to visual/digital artifacts, (b) pre-defined outcome windows for process tracing, and (c) transparent reliability targets and decision rules for ambiguous cases. Intersectional variation is often reported narratively but not systematically coded alongside outcome measures.</w:t>
      </w:r>
    </w:p>
    <w:p>
      <w:r>
        <w:t xml:space="preserve"> </w:t>
      </w:r>
    </w:p>
    <w:p>
      <w:pPr>
        <w:pStyle w:val="Heading2"/>
      </w:pPr>
      <w:r>
        <w:t>Abstract</w:t>
      </w:r>
    </w:p>
    <w:p>
      <w:r>
        <w:t>This study examines how women founders in German tech startups actively construct public visibility and whether their practices reproduce (doing), re-signify (redoing), or neutralize (undoing) gender markers, and how those repertoires relate to investor and media responses. Using a purposive sample of 50 qualitative interviews with linked multimodal artifacts (profile photos, pitch decks, social posts) and a 15-person longitudinal subsample, we develop an operational codebook to classify visibility repertoires and measurable ecosystem outcomes. We combine reflexive thematic analysis with multimodal discourse and visual semiotics to generate reproducible indicators (role labels, imagery, language style, slide emphasis). We then map repertoires to concrete outcomes—investor follow-ups, term-sheet offers, funding amounts, and media tone—using temporal process tracing within pre-defined windows. The main contribution is a transparent, testable linkage between multimodal visibility repertoires and short-term ecosystem signals, enabling clearer claims about how gendered visibility practices affect resource access in startup contexts.</w:t>
      </w:r>
    </w:p>
    <w:p>
      <w:r>
        <w:t xml:space="preserve"> </w:t>
      </w:r>
    </w:p>
    <w:p>
      <w:pPr>
        <w:pStyle w:val="Heading2"/>
      </w:pPr>
      <w:r>
        <w:t>Methodology</w:t>
      </w:r>
    </w:p>
    <w:p>
      <w:r>
        <w:t>1. Sampling and recruitment: recruit 50 women tech founders in Germany using max-variation purposive sampling across sector (deep tech, software/consumer, hardware/other), region, funding stage, migration and parental status. Select a 15-person longitudinal subsample for repeat data collection. 2. Data collection: conduct semi-structured interviews (60–90 min) and collect participant artifacts explicitly consented to: LinkedIn profiles, pitch decks, public media mentions, and optional photos or short video diaries. Also run short semi-structured interviews with 20 investors and 10 tech journalists to capture ecosystem responses. 3. Codebook development: create a living codebook that operationalizes three repertoire categories—doing, redoing, undoing—with concrete indicators for text (language style, role labels), visuals (photo composition, attire, props), and slide content (metrics vs mission). "Indicator" means a specific, observable item such as "use of CEO title" or "profile photo with family prop." 4. Coding and analysis: apply reflexive thematic analysis to interview transcripts and multimodal discourse/visual semiotics methods to artifacts. Multimodal discourse analysis studies how language and images work together; visual semiotics means interpreting visual signs like color or props. Double-code 25% of interviews and 30% of artifacts to produce intercoder metrics. 5. Linking repertoires to outcomes: build artifact timelines around visibility events (e.g., public pitch, media story) and extract outcome measures (investor follow-ups, term-sheet offers, funding events, media tone). Use process tracing logic: check that repertoire enactment precedes outcome within pre-defined temporal windows. 6. Documentation: keep a decision register and reflexive memos recording code changes and analytic moves. 7. Ethics and data protection: use layered consent, pseudonymize data, and follow the DPIA and reporting thresholds specified in the protocol.</w:t>
      </w:r>
    </w:p>
    <w:p>
      <w:r>
        <w:t xml:space="preserve"> </w:t>
      </w:r>
    </w:p>
    <w:p>
      <w:pPr>
        <w:pStyle w:val="Heading2"/>
      </w:pPr>
      <w:r>
        <w:t>Experiments</w:t>
      </w:r>
    </w:p>
    <w:p>
      <w:r>
        <w:t>Dataset: Primary dataset = 50 interview transcripts with linked multimodal artifacts; longitudinal dataset = 15 participants with 2 timepoints (baseline + follow-up at 6–9 months); ecosystem dataset = 20 investor interviews and 10 media/journalist interviews; third-party records = press releases and funding announcements. Baselines: group founders by coded dominant repertoire: doing, redoing, undoing. Baseline comparisons: text-only coding vs multimodal coding (ablation); cross-sectional only vs longitudinal inclusion. Outcome metrics: (1) investor_followups_count = number of distinct investor follow-up contacts within 12 weeks after a documented visibility event (count); (2) term_sheet_binary = whether a term sheet was offered within 24 weeks (0/1); (3) time_to_funding_weeks = weeks from event to funding close (survival/time-to-event); (4) funding_amount_eur = log-transformed funding amount if applicable; (5) media_tone_score = polarity score aggregated over 8 weeks (range -1 to +1). Evaluation metrics: for count data use incident rate ratios and Poisson or negative binomial model fit (AIC); for binary outcomes report odds ratios and area under ROC (AUC); for time-to-event use Cox proportional hazards and concordance index (C-index); for continuous amounts use R-squared and RMSE of linear models; for sentiment classifier use precision, recall, F1. Intercoder reliability: compute Cohen's kappa on 25% double-coded interviews and 30% artifacts; report kappa and percent agreement. Statistical controls: include covariates sector, funding stage, region, migration status, parental status. Experimental setup: 1) Code all cases and assign dominant repertoire label by majority of indicators. 2) Run regression models: Poisson/negative binomial for investor_followups_count; logistic regression for term_sheet_binary; Cox model for time_to_funding_weeks; linear regression on log(funding_amount_eur). 3) Ablation study A: rerun models using text-only codes (exclude visual artifact indicators) and compare coefficients and model fit. 4) Ablation study B: run analyses on cross-sectional baseline only and then include longitudinal follow-up to test stability of repertoire→outcome associations. 5) Robustness checks: bootstrap 1,000 resamples to get 95% CI for key coefficients. 6) Report coder reliability numbers and distribution of repertoire labels across covariates.</w:t>
      </w:r>
    </w:p>
    <w:p>
      <w:r>
        <w:t xml:space="preserve"> </w:t>
      </w:r>
    </w:p>
    <w:p>
      <w:pPr>
        <w:pStyle w:val="Heading2"/>
      </w:pPr>
      <w:r>
        <w:t>Risk Factors And Limitations</w:t>
      </w:r>
    </w:p>
    <w:p>
      <w:r>
        <w:t>1. Selection bias: purposive sampling and gatekeeper recruitment can skew towards more visible or networked founders, limiting generalizability. 2. Small sample and small-n intersectional cells: some subgroup analyses will have very small counts, reducing statistical power and increasing disclosure risk. 3. Causal inference limits: observational design cannot fully eliminate confounders; repertoire–outcome associations may be driven by unobserved variables like prior networks. 4. Temporal alignment error: defining visibility events and exact timing of investor responses may be imprecise, creating measurement noise. 5. Coding ambiguity: distinguishing doing vs redoing vs undoing can be subjective for borderline cases, producing lower intercoder reliability. 6. Re-identification risk: linking interview content with public artifacts in a small ecosystem increases re-identification chances despite pseudonymization. 7. Data completeness: not all participants will consent to artifact use or investor contacts, leading to missing data and biased outcome measures. 8. Measurement bias in media sentiment: automated sentiment tools can misread nuanced language or German-English mixes, affecting media_tone_score. 9. Resource constraints: multimodal coding and process tracing are time-intensive and may limit scalability beyond the sample. 10. Context specificity: findings from the German tech startup ecosystem may not generalize to other countries or sectors.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