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santander_export_growth_fta_covid_regression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Staggered-event and instrumental-variable panel analysis of determinants of firm-level export growth in Santander, Colombia (2010–2020)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firm-level exposure to demand in FTA partner markets causes increased subsequent export growth for Santander exporters, conditional on firm size, access to finance, and regional opportunity.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empirical work on firm export growth typically uses panel fixed-effects regressions, difference-in-differences or staggered-event event studies, and shift-share (Bartik) instruments to isolate demand shocks. Spatial-econometric approaches (SAR/SDM) are applied sometimes to account for geographic spillovers. Common weaknesses are: (1) shift-share instruments can suffer from own-shock bias when pre-period weights correlate with unobserved trends; (2) staggered-treatment DiD estimators can be biased under heterogeneous timing and treatment effects unless modern estimators are used; (3) small firm panels face weak-instrument and few-cluster inference problems; (4) many studies ignore spatial dependence or mis-handle zeros and heavy tails in export values. There is also limited integration of finance-channel measures and place-based opportunity indices in causal designs, and scant use of rigorous pre-registration, permutation/leave-one-out checks, and MNAR sensitivity in the same study.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analyzes which firm-level, financial, and spatial factors drive export growth among 128 Santander (Colombia) exporters between 2010 and 2020. We combine modern staggered-event estimators with instrumented panel regressions to separate demand-driven gains from firm reallocation. Primary identification uses a Callaway &amp; Sant’Anna staggered-event design for FTAs and COVID timing, and a set of instruments (Bartik partner-demand using pre-2010 weights, sectoral commodity-price shocks, and regional liquidity shifts) for plausibly exogenous variation. We integrate regional opportunity-map variables and spatial econometric models (SAR/SDM) to capture place-based spillovers. Missing data are handled via multiple imputation and results are tested against winsorized and raw data. Main contributions are (1) a rigorously pre-registered causal analysis of export growth drivers, (2) validation of instrument exogeneity with leave-one-out and permutation tests, and (3) policy-relevant insights on trade, finance, and spatial levers to support post-pandemic recovery. The expected outcome is actionable evidence on which exposures and firm characteristics most reliably increase export growth.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assembly: build an annual firm×year panel (2010–2020) with export_FOB, total_revenue, employees, assets, leverage, firm_age, product HS6 exports, destination shares, municipality codes, regional opportunity index, partner GDP, world commodity prices, bank/regional liquidity indicators, and green-metrics. Convert monetary units to constant 2015 COP and USD PPP. 2) Outcome and main treatment: outcome = annual export growth = Δlog(export_value) using IHS (inverse hyperbolic sine) as robustness for zeros. Treatment = Intensity_FTA_it = share of firm exports to FTA partners in year t; also construct Binary_FTA_itd per destination and tariff_margin at HS6 value-weighted. 3) Staggered-event estimation: implement Callaway &amp; Sant’Anna (2021) to estimate cohort-specific event effects with pre-trend lead tests and cohort-balanced Sun &amp; Abraham robustness. Explain: Callaway &amp; Sant’Anna adjusts for staggered treatment timing by comparing appropriate control groups. 4) Instrumental variables: construct Bartik partner-demand = Σ_p w_i,p(pre2010)×ΔGDP_p,t (pre-2010 weights avoid contemporaneous feedback). Also build commodity-price and regional-liquidity instruments. Test exogeneity with first-stage F, Kleibergen–Paap, Hansen J, and leave-one-out / partner-weight permutation tests. 5) Spatial methods: compute kNN (k=5) and inverse-distance (50 km/100 km) weights and run Moran’s I and LM tests. If spatial dependence found, estimate SAR and SDM and report direct/indirect effects (SDM decomposes own vs spillover impacts). 6) Missing data and outliers: apply panel-aware MICE with predictive mean matching, m=20; report raw, imputed, and winsorized (1st/99th) analyses. 7) Inference: use AR/CLR for weak-IV robustness, LIML sensitivity, and wild-cluster bootstrap for few-cluster settings. 8) Pre-registered diagnostics: event-study pre-trends, placebo windows, permutation p-values, first-stage scatterplots, and MDE/power tables computed by simulation.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Canonical firm-level panel of 128 exporters, 2010–2020 with HS6 export lines and municipality geocodes. (B) Partner-country GDP series (annual). (C) World commodity prices (monthly/annual). (D) Bank-regional liquidity indicators (annual). (E) Regional opportunity map layers and municipality shapefiles. (F) ISO/ProColombia/BvD registries for green metrics. Baselines: (1) firm FE + year FE OLS on Δlog(export_value) with Intensity_FTA_it; (2) staggered-event Callaway &amp; Sant’Anna without IV; (3) 2SLS using Bartik partner-demand; (4) 2SLS with commodity-price instrument; (5) SAR/SDM spatial IV models; (6) PPML baseline for export values (Poisson Pseudo-Maximum Likelihood) as alternative to log transformations. Evaluation metrics: estimated treatment effects (elasticities), 95% confidence intervals, first-stage F-statistics, Kleibergen–Paap F, Hansen J p-values, event-study lead-coefficient joint F-test for pre-trends, permutation p-values, Moran’s I on residuals, RMSE for predictive checks, and minimum detectable effect (MDE) from power simulations. Experimental setup: (A) Main estimate: Callaway &amp; Sant’Anna on full panel with Intensity_FTA_it; (B) IV comparison: 2SLS (Intensity instrumented by Bartik) versus OLS; report AR/CLR and LIML if F&lt;10; (C) Ablation 1: replace intensity with Binary_FTA (destination-level) and re-estimate; (D) Ablation 2: compare IHS vs log(x+1) vs PPML; (E) Spatial test: run FE+IV with and without spatial lag of dependent variable and compare direct/indirect effects; (F) Robustness: raw, imputed (m=20), and winsorized datasets; cluster SEs by firm and municipality; run wild-cluster bootstrap. Power and MDE simulations: simulate detectable effect sizes across scenarios varying number of municipality clusters (10, 20, 40), serial correlation rho (0.0, 0.3, 0.6), and first-stage F (5, 10, 20); report MDEs for full and subgroup samples (size terciles, regional-opportunity terciles).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Selection and survivorship bias: the 128-firm sample may be non-representative; exits and sample attrition can bias estimates. 2) Instrument validity risks: Bartik-style instruments may suffer own-shock bias if pre-2010 weights correlate with unobserved firm trends; commodity and liquidity instruments may violate exclusion restrictions. 3) Weak instruments and small-sample inference: first-stage weak instruments or few clusters (municipalities/banks) can invalidate standard inference. 4) Measurement error: misclassification of HS codes, destination assignment errors, re-exports, and imperfect green-metric coverage can bias estimates. 5) Handling zeros and heavy tails: many zero export observations or extreme values may make log transforms or OLS inappropriate. 6) Spatial omitted variables: unobserved local shocks correlated across nearby firms can confound estimates even after spatial models. 7) MNAR missingness: non-random missing data (e.g., smaller firms not reporting) can invalidate imputation assumptions. 8) Limited generalizability: results apply to Santander (2010–2020) and may not generalize to other regions or post-2020 dynamics. 9) Computational and data constraints: assembling HS6-level, partner-weight matrices, and high-quality geocoding is time-consuming and may limit iterative simulation scale.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