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effectuation_precommitment_internationalization</w:t>
      </w:r>
    </w:p>
    <w:p>
      <w:r>
        <w:t xml:space="preserve"> </w:t>
      </w:r>
    </w:p>
    <w:p>
      <w:pPr>
        <w:pStyle w:val="Heading2"/>
      </w:pPr>
      <w:r>
        <w:t>Title</w:t>
      </w:r>
    </w:p>
    <w:p>
      <w:r>
        <w:t>A longitudinal PLS-SEM study of how SME pre-commitments affect foreign-market opportunity creation and international performance</w:t>
      </w:r>
    </w:p>
    <w:p>
      <w:r>
        <w:t xml:space="preserve"> </w:t>
      </w:r>
    </w:p>
    <w:p>
      <w:pPr>
        <w:pStyle w:val="Heading2"/>
      </w:pPr>
      <w:r>
        <w:t>Short Hypothesis</w:t>
      </w:r>
    </w:p>
    <w:p>
      <w:r>
        <w:t>Formal pre-commitments made by SMEs before foreign market entry at time t1 causally increase the creation (count and quality) of foreign-market opportunities at time t2, which in turn raise international performance at time t3.</w:t>
      </w:r>
    </w:p>
    <w:p>
      <w:r>
        <w:t xml:space="preserve"> </w:t>
      </w:r>
    </w:p>
    <w:p>
      <w:pPr>
        <w:pStyle w:val="Heading2"/>
      </w:pPr>
      <w:r>
        <w:t>Related Work</w:t>
      </w:r>
    </w:p>
    <w:p>
      <w:r>
        <w:t>Prior work links effectuation principles (pre-commitment, staging, affordable loss) and real-options reasoning to SME international outcomes. Real-options studies emphasize staged investments and optionality value but often treat opportunity creation as an outcome of firm resources rather than an emergent, formative construct. Effectuation research reports positive associations with performance but relies largely on cross-sectional surveys, inconsistent item batteries, and reflective measures that may conflate distinct behaviors. Common weaknesses across existing approaches are limited temporal separation (hindering causal claims), sparse use of credible instruments for endogeneity, inadequate validation of formative constructs for opportunity creation, and little integration of experiential learning as a moderator. Many studies also lack preregistered robustness checks (IV diagnostics, Gaussian-copula sensitivity, Monte Carlo power) and reproduce pipelines, reducing confidence in causal interpretation and generalizability.</w:t>
      </w:r>
    </w:p>
    <w:p>
      <w:r>
        <w:t xml:space="preserve"> </w:t>
      </w:r>
    </w:p>
    <w:p>
      <w:pPr>
        <w:pStyle w:val="Heading2"/>
      </w:pPr>
      <w:r>
        <w:t>Abstract</w:t>
      </w:r>
    </w:p>
    <w:p>
      <w:r>
        <w:t>This study examines whether and how SME pre-commitments before market entry drive the creation of foreign-market opportunities and subsequent international performance. Using a longitudinal design with predictors at t1, opportunity-creation at t2, and performance at t3, we combine a second-order formative measure of opportunity creation (count, novelty/fit, conversion rate, speed) with reflective scales for effectuation logics and experiential learning. Primary analysis uses partial least squares structural equation modeling (PLS-SEM) with bootstrapped inference and moderated mediation tests; endogeneity is addressed via a three-wave timing or, when necessary, instrumental-variable 2SLS and Gaussian-copula sensitivity tests. We complement quantitative tests with nested qualitative interviews to trace mechanisms and refine measures. The main contribution is a preregistered, reproducible causal test of how concrete pre-commitment actions shape opportunity formation and performance in SMEs, and how experiential learning amplifies or attenuates these effects. Expected outcomes include clearer causal estimates, validated formative measurement, and actionable insight into sequencing and learning in internationalization.</w:t>
      </w:r>
    </w:p>
    <w:p>
      <w:r>
        <w:t xml:space="preserve"> </w:t>
      </w:r>
    </w:p>
    <w:p>
      <w:pPr>
        <w:pStyle w:val="Heading2"/>
      </w:pPr>
      <w:r>
        <w:t>Methodology</w:t>
      </w:r>
    </w:p>
    <w:p>
      <w:r>
        <w:t>1. Design: Prefer three-wave longitudinal panel: T1 predictors (pre-commitment, staging, affordable loss, real-options reasoning, experiential learning), T2 opportunity-creation (6 months after T1), T3 international performance (12 months after T1). If three waves infeasible, use two waves (predictors at T1, outcomes at T2) plus IVs.</w:t>
        <w:br/>
        <w:t>2. Measurement: Use the provided 3-item reflective pre-commitment scale (PRE_01–PRE_03), 5-item staging (STG_), 4-item affordable loss (AL_), 4-item real-options (RO_), and 5-item experiential learning (EL_). Opportunity-creation is second-order formative with indicators: opportunity_count (integer past 12 months), novelty_fit (1–7), conversion_likelihood (0–100%), speed_to_decision (days). Provide clear item anchors and short examples in the survey.</w:t>
        <w:br/>
        <w:t>3. Data handling: Log-transform counts and days via log(x+1); logit-transform percentages if needed; winsorize at 99th percentile. Use MICE for missing data when &lt;20% missing per respondent. Store identifiers separately and anonymize analysis file.</w:t>
        <w:br/>
        <w:t>4. Common-method bias: Include a 3-item unrelated marker (e.g., personal social media frequency) and run CFA-marker adjustment; report marker-adjusted paths.</w:t>
        <w:br/>
        <w:t>5. Primary analysis: PLS-SEM with 5,000 bootstrap resamples. Evaluate reflective reliability (Cronbach's alpha, composite reliability &gt;0.70, AVE&gt;0.50) and discriminant validity (HTMT&lt;0.85). For formative OC, check VIF&lt;3 and bootstrapped weights significance; perform redundancy test against verified transaction counts.</w:t>
        <w:br/>
        <w:t>6. Causal checks: Prefer temporal separation; when required, run 2SLS/IV (instruments: regional export-promotion exposure lagged, industry export growth lagged, prior network centrality) reporting first-stage F&gt;10, partial R2, and Hansen J. Run Gaussian-copula control-function sensitivity tests for endogeneity.</w:t>
        <w:br/>
        <w:t>7. Moderation and mediation: Test moderated mediation where EL moderates path from pre-commitment to opportunity-creation using product-indicator interaction in PLS. Report conditional indirect effects with bootstrapped CIs. Also run multi-group analysis by EL terciles.</w:t>
        <w:br/>
        <w:t>8. Qualitative integration: Nested 12-case interviews after T1 and before T2 to trace episodes, collect artifacts, code mechanisms, and produce joint displays to refine measures.</w:t>
        <w:br/>
        <w:t>9. Reproducibility: Preregister on OSF; publish CSV data, JSON metadata, R scripts, and SmartPLS project; follow variable prefixes (PRE_, STG_, AL_, RO_, OC_, EL_, PERF_).</w:t>
      </w:r>
    </w:p>
    <w:p>
      <w:r>
        <w:t xml:space="preserve"> </w:t>
      </w:r>
    </w:p>
    <w:p>
      <w:pPr>
        <w:pStyle w:val="Heading2"/>
      </w:pPr>
      <w:r>
        <w:t>Experiments</w:t>
      </w:r>
    </w:p>
    <w:p>
      <w:r>
        <w:t>1. Dataset: Primary data = survey of New Zealand SMEs targeting N&gt;=350; nested qualitative interviews with 12 firms. External IV data = regional export-promotion program exposure (binary/intensity per region, lagged 1 year), industry-level export growth (continuous, lagged 1 year), and pre-study network centrality (counts of prior collaborations).</w:t>
        <w:br/>
        <w:t>2. Baselines: A. PLS-SEM full model (predictors -&gt; OC formative -&gt; performance) with controls (size, age, industry, export experience). B. CB-SEM (covariance-based) with same measurement model. C. OLS mediation on observed composites. D. 2SLS/IV models for key endogenous links (pre-commitment -&gt; OC). E. PLS-SEM without experiential learning moderator (ablation).</w:t>
        <w:br/>
        <w:t>3. Preprocessing: Apply log(x+1) to counts/days; winsorize 99th percentile; impute missing via MICE for &lt;20% missing; scale reflective items to 1–5.</w:t>
        <w:br/>
        <w:t>4. Evaluation metrics: Path coefficient estimates and two-tailed bootstrap p-values; R2 for endogenous constructs; SRMR for model fit; HTMT for discriminant validity; VIF for collinearity; PLSpredict RMSE for out-of-sample prediction; first-stage F-statistics and partial R2 for IV strength; Hansen J p-value for overidentification; bootstrapped 95% CIs for indirect effects (5,000 resamples).</w:t>
        <w:br/>
        <w:t>5. Experiments: E1. Main test: estimate full PLS-SEM using T1-&gt;T2-&gt;T3 data; report direct, indirect, and total effects. E2. IV test: run 2SLS where OC is instrumented by regional export-promotion exposure and industry export growth; report diagnostics. E3. Sensitivity: apply Gaussian-copula control-function to test endogeneity of pre-commitment. E4. Estimator comparison: run CB-SEM on same constructs and compare path signs/magnitudes and fit. E5. Ablation: remove experiential learning moderator and compare indirect-effect sizes; report Δ in indirect effect and interaction significance. E6. Formative sensitivity: sequentially omit each OC indicator and record changes in OC weights, R2, and indirect effects.</w:t>
        <w:br/>
        <w:t>6. Power and Monte Carlo: preregister simulation with N=300–400, effect sizes: small interaction d=0.12, medium d=0.25; run 10,000 replications to estimate minimum N for 80% power for interaction and indirect paths; publish assumptions (population loadings, measurement error).</w:t>
        <w:br/>
        <w:t>7. Reporting: release all code, transformation rules (constants used), bootstrap settings, and data dictionaries on OSF at analysis completion.</w:t>
      </w:r>
    </w:p>
    <w:p>
      <w:r>
        <w:t xml:space="preserve"> </w:t>
      </w:r>
    </w:p>
    <w:p>
      <w:pPr>
        <w:pStyle w:val="Heading2"/>
      </w:pPr>
      <w:r>
        <w:t>Risk Factors And Limitations</w:t>
      </w:r>
    </w:p>
    <w:p>
      <w:r>
        <w:t>1. Causal identification may remain weak if longitudinal windows are too short or if IVs are weak or violate exclusion restrictions. 2. Instruments (regional programs, industry growth) may correlate with unobserved local factors, producing biased 2SLS estimates. 3. Self-report measures risk common-method bias and measurement error despite marker-variable adjustment. 4. Formative opportunity-creation indicators can be sensitive to scaling, zero values, and indicator omission, causing instability in weights. 5. Sample size (≈332) may be underpowered to detect small interaction effects, reducing ability to confirm moderation by experiential learning. 6. Nonresponse and selection bias: SMEs that participate may differ systematically from the target population, limiting generalizability. 7. Qualitative nested-case selection risks post-treatment selection bias if cases are chosen on outcomes observed after T1. 8. Results may not generalize beyond New Zealand SMEs or to large firms and different institutional contexts. 9. Data transformations (log, logit, winsorization) may influence interpretability of raw effect sizes and require careful reporting. 10. Practical limits on obtaining objective performance artifacts (invoices, contracts) may reduce ability to fully validate formative measures.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