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variability_expert_mining</w:t>
      </w:r>
    </w:p>
    <w:p>
      <w:r>
        <w:t xml:space="preserve"> </w:t>
      </w:r>
    </w:p>
    <w:p>
      <w:pPr>
        <w:pStyle w:val="Heading2"/>
      </w:pPr>
      <w:r>
        <w:t>Title</w:t>
      </w:r>
    </w:p>
    <w:p>
      <w:r>
        <w:t>Mining software repositories to evaluate developer engagement and expertise in preprocessor-based configurable software systems</w:t>
      </w:r>
    </w:p>
    <w:p>
      <w:r>
        <w:t xml:space="preserve"> </w:t>
      </w:r>
    </w:p>
    <w:p>
      <w:pPr>
        <w:pStyle w:val="Heading2"/>
      </w:pPr>
      <w:r>
        <w:t>Short Hypothesis</w:t>
      </w:r>
    </w:p>
    <w:p>
      <w:r>
        <w:t>Developers identified as experts by conventional expertise metrics are not the same as the top 10% of developers by variable-code edits (≥50 variable edits) in preprocessor-based configurable software system projects.</w:t>
      </w:r>
    </w:p>
    <w:p>
      <w:r>
        <w:t xml:space="preserve"> </w:t>
      </w:r>
    </w:p>
    <w:p>
      <w:pPr>
        <w:pStyle w:val="Heading2"/>
      </w:pPr>
      <w:r>
        <w:t>Related Work</w:t>
      </w:r>
    </w:p>
    <w:p>
      <w:r>
        <w:t>Prior work measures developer expertise using aggregate signals such as total commits, lines changed, code ownership, and social metrics (e.g., review activity). Program-analysis tools (TypeChef, SuperC) have been used to reason about preprocessor variability but have not been combined at scale with developer-level expertise measurement. Large-scale empirical studies of software product lines examined workload distribution but typically ignore fine-grained preprocessor conditionality, cross-translation-unit variability, and generated-code noise. Existing expertise-detection models therefore may mislabel developers who work mainly in conditional (variable) code regions. Limitations in current approaches include: reliance on coarse metrics that ignore presence conditions, weak handling of cross-file macros and include graphs, inadequate filtering of generated/bot commits, and sparse treatment of label uncertainty from automatic parsing. These gaps leave unresolved whether conventional metrics capture proficiency with variable code and how concentrated variable-code work is across developers.</w:t>
      </w:r>
    </w:p>
    <w:p>
      <w:r>
        <w:t xml:space="preserve"> </w:t>
      </w:r>
    </w:p>
    <w:p>
      <w:pPr>
        <w:pStyle w:val="Heading2"/>
      </w:pPr>
      <w:r>
        <w:t>Abstract</w:t>
      </w:r>
    </w:p>
    <w:p>
      <w:r>
        <w:t>This study measures who works on variable code and whether standard expertise metrics identify those developers in preprocessor-based configurable software systems. We mine 25 C-family repositories with long histories and many contributors, parse source code with presence-condition annotations that mark lines/hunks guarded by preprocessor directives, and map those conditions to configuration options using build-system artifacts and heuristics. We label developer edits as variable or mandatory, compute concentration measures (Gini, Lorenz), and train classifiers that compare conventional expertise features (commits, ownership) against variability-aware features. We validate labels with a 1,000-commit manual sample and propagate annotation uncertainty using a Bayesian measurement-error model. We also pre-specify causal contrasts with DAGs and apply propensity-score methods for associative inference. Expected outcomes: quantification of workload concentration on variable code, evaluation of conventional expertise metric performance, and reproducible artifacts and protocols for variability-aware measurement.</w:t>
      </w:r>
    </w:p>
    <w:p>
      <w:r>
        <w:t xml:space="preserve"> </w:t>
      </w:r>
    </w:p>
    <w:p>
      <w:pPr>
        <w:pStyle w:val="Heading2"/>
      </w:pPr>
      <w:r>
        <w:t>Methodology</w:t>
      </w:r>
    </w:p>
    <w:p>
      <w:r>
        <w:t>1) Repository selection: run a reproducible selector to choose public C/C++/Objective-C repositories meeting criteria (preprocessor variability, ≥5 years or ≥5k commits, permissive license, ≥50 distinct authors). 2) Parsing and annotation: implement a TypeChef-style parser that resolves include graphs across translation units and annotates tokens, lines, and hunks with presence conditions. Presence condition = a propositional formula over configuration options; explain: a formula is a logical expression like (FEATURE_A &amp;&amp; !FEATURE_B) that says when code appears. Use SuperC as a fallback. 3) Map conditions to config options: read Kconfig/CMake/autotools where present; otherwise use macro-name heuristics (e.g., CONFIG_*, FEATURE_*) and co-occurrence patterns. 4) Generated-file and bot filtering: apply regex and directory rules to exclude generated files and flag likely bot commits; explain bot detection as pattern-matching on author/committer names and emails. 5) Commit labeling: align parsed annotations with git diffs to label each edit as variable or mandatory; compute per-developer metrics (variable edits, proportion in conditionals, unique options touched). 6) Validation: manually label 1,000 commits stratified by project and author activity; measure Cohen’s kappa and estimate parser precision/recall. 7) Uncertainty: fit a Bayesian measurement-error model where observed labels are noisy observations of latent true labels; use posterior draws in downstream models. 8) Prediction and analysis: train classifiers (logistic regression with L2, random forest, XGBoost) using conventional features and variability-aware features; evaluate with project-stratified nested cross-validation. 9) Causal planning: produce DAGs mapping variables (developer ability, prior activity, tenure, module ownership, project complexity) and pre-specify adjustment sets; run propensity-score IPTW or matching for associative contrasts. 10) Reproducibility: containerize pipeline, fix RNG seeds, and publish parsed artifacts, commit SHAs, and aggregated statistics with pseudonymized IDs.</w:t>
      </w:r>
    </w:p>
    <w:p>
      <w:r>
        <w:t xml:space="preserve"> </w:t>
      </w:r>
    </w:p>
    <w:p>
      <w:pPr>
        <w:pStyle w:val="Heading2"/>
      </w:pPr>
      <w:r>
        <w:t>Experiments</w:t>
      </w:r>
    </w:p>
    <w:p>
      <w:r>
        <w:t>Datasets: primary set of 25 C-family projects selected by preregistered selector; pilot set of 5 stratified projects for variance estimation. Manual validation sample: 1,000 commits (25 projects × 40 commits) stratified by top/mid/occasional authors and file type. Baselines: (A) conventional metrics: total commits, total lines changed, code ownership fraction, recent activity; (B) random baseline that ranks developers by chance. Models: logistic regression (L2), random forest, XGBoost. Features: conventional-only, variability-aware-only (variable edits, proportion-in-conditionals, unique config options touched, presence-condition confidence), combined set. Evaluation metrics: classifier AUC (area under ROC), precision@k (k = top 10% developers per project), recall, F1, calibration (Brier score), Cohen's kappa for manual labels, Gini coefficient and Lorenz curves for concentration. Experimental setup: parse repositories to produce line/hunk presence conditions; label edits; run project-stratified nested cross-validation with outer folds at project level and inner folds for hyperparameter tuning; report mean and 95% bootstrap CIs clustered by developer. Ablation study: compare combined model vs conventional-only and vs variability-only to measure ΔAUC; report ΔAUC and 95% CI. Sensitivity analyses: vary expert threshold (top 5%, 10%, 20%) and absolute cutoffs (10,25,50,100 edits) and report metric stability. Causal tests: for pre-specified estimands run propensity-score IPTW with covariates (prior activity, tenure, module ownership, project size); report standardized mean differences pre/post weighting and present results only if SMD ≤0.10 and overlap holds. Power: use pilot variance components to simulate sample size needed to detect ΔAUC=0.05 at 80% power and report required N.</w:t>
      </w:r>
    </w:p>
    <w:p>
      <w:r>
        <w:t xml:space="preserve"> </w:t>
      </w:r>
    </w:p>
    <w:p>
      <w:pPr>
        <w:pStyle w:val="Heading2"/>
      </w:pPr>
      <w:r>
        <w:t>Risk Factors And Limitations</w:t>
      </w:r>
    </w:p>
    <w:p>
      <w:r>
        <w:t>Parser failures when build models are absent or when macros serve multiple purposes, causing false positives/negatives in variable-code labels. Cross-translation-unit conditionality may be missed if include graphs are incomplete. Generated-file and bot detection heuristics may misclassify edge cases, biasing developer metrics. Manual validation size may be insufficient to characterize rare failure modes. Nonrandom missingness: projects without build artifacts or with heavy generated-code overlap may differ systematically, limiting generalization. Computational costs and storage: parsing and include-graph resolution at scale may be slow and require substantial disk and memory. Classifier and causal analyses may suffer from confounding by unobserved developer attributes (employment, external affiliations) and limited instruments, restricting causal claims. Results apply mainly to C-family preprocessor-based systems and may not generalize to other variability mechanisms or languages.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