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cgoanalyzer_cgo_usage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Empirical analysis via cgoanalyzer of cgo usage patterns and memory-safety risks in open-source Go repositories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Use of cgo in a repository increases the probability that the repository contains at least one high-risk memory or ownership pattern compared to repositories that do not use cgo.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Prior work has measured cgo adoption rates and reported that a minority of Go projects use cgo primarily for system information and performance. Existing approaches include simple pattern searches (text grep for import "C" or // #cgo), manual audits, and small-scale static analyses that flag pointer-check issues. Limitations of current methods are: small or unstratified corpora, low automation and repeatability, scarce dynamic validation (runtime sanitizers), lack of a formal taxonomy mapping code-level heuristics to severity labels, limited detector calibration against synthetic ground truth, and little integration of developer-centered qualitative evidence. These gaps reduce confidence in prevalence estimates, blind spots in build/config complexity, and limit practical, reproducible guidance for developers and language maintainers.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This study uses an automated analysis tool, cgoanalyzer, to measure how cgo (the Go foreign-function interface) is used across open-source Go projects and to quantify associated memory-safety and maintenance risks. We combine scalable static detectors (presence, API surface extraction, pointer/memory-ownership patterns, build/config parsing) with dynamic validation using sanitizers and instrumented builds. We construct a formal taxonomy of usage purposes, patterns, and severity levels, curate synthetic fixtures that inject known cgo faults, and produce a stratified corpus and a labeled gold set for evaluation. The main contributions are a reproducible detector suite, a calibrated dataset linking code patterns to severity, and empirical estimates of how cgo use relates to high-risk patterns and build fragility. Expected outcomes are actionable, evidence-based characterizations of common cgo pitfalls, measured detector performance, and prioritized guidance for developers and the Go project.</w:t>
      </w:r>
    </w:p>
    <w:p>
      <w:r>
        <w:t xml:space="preserve"> </w:t>
      </w:r>
    </w:p>
    <w:p>
      <w:pPr>
        <w:pStyle w:val="Heading2"/>
      </w:pPr>
      <w:r>
        <w:t>Methodology</w:t>
      </w:r>
    </w:p>
    <w:p>
      <w:r>
        <w:t>1) Tooling: Build cgoanalyzer as a pipeline of lightweight components: (a) parser that builds an abstract syntax tree (AST) of Go files to find import "C" and // #cgo directives; (an AST is a tree representing code structure), (b) presence detector that marks files/packages that reference cgo, (c) API mapper that extracts referenced C libraries, functions, and types by scanning C comments and adjacent C files, (d) pattern detectors: static taint/def-use analysis to find pointer-passing (taint analysis traces how data flows), C allocation without C.free, returning Go heap pointers to C, unsafe conversions, and wrapper complexity heuristics, (e) build/config extractor that reads build tags and CFLAGS/LDFLAGS. 2) Taxonomy: Encode a two-level taxonomy: top categories (Presence, Purpose, Pattern, Build/Config, Severity) and per-instance attributes (location, scope, C API surface, observable runtime effect, provenance, confidence score). 3) Synthetic ground truth: Create small real-repo fixtures and programmatically mutate them to inject known faults (e.g., passing Go pointer to C, missing C.free). 4) Annotation: Recruit annotators with Go experience, use a three-annotator + adjudicator workflow, train on 30 practice items, record Cohen's kappa for agreement. 5) Dynamic validation: Compile and run instrumented builds under ASan/UBSan where available (sanitizers detect memory errors), collect pprof profiles (CPU/heap), runtime.MemStats, and bench outputs. 6) Sampling: Build a stratified corpus of &gt;=10k repos by domain, size, age, star terciles, and presence of C sources; select labeled subset N≈2000 and gold-set 500–1000. 7) Detector fusion: Combine rule-based signals and ML scores with thresholding calibrated on the gold-set, producing per-instance confidence. 8) Provenance: Record commit hashes, build logs, toolchain versions, and container SBOMs for reproducibility.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1) Large corpus: &gt;=10,000 stratified Go repositories (by domain, LOC, stars, age, presence of C files). 2) Labeled set: N=2000 repositories, stratified; gold-set: 500–1000 manually adjudicated items including synthetic fixtures. Baselines: (A) grep-based presence (import "C" or // #cgo), (B) prior static heuristics (simple pointer checks), (C) AST-only detector. Metrics: detector-level precision, recall, F1; per-repo HighRisk prevalence; Cohen's kappa for annotators; calibration (reliability diagrams); statistical tests for hypothesis: multilevel logistic regression (outcome HighRisk per repo) with fixed effects (cgo usage, log(LOC+1), contributors, age, domain, presence of C) and random intercepts for organization/domain; report odds ratios, 95% CIs, and adjusted p-values using Benjamini–Yekutieli for families. Dynamic metrics: build-success rate, sanitizer-detected faults, median CPU and heap differences, benchstat results and bootstrap confidence intervals. Experimental setup: use container images for Go 1.20–1.22, clang/gcc with ASan/UBSan flags, run build matrix toggling CGO_ENABLED={0,1}, timeout per build 10 minutes, benchmark repetitions &gt;=30, record pprof and runtime.MemStats. Comparisons and ablations: 1) Detector ensemble vs AST-only vs grep baseline for precision/recall on gold-set. 2) With vs without dynamic sanitizer validation to measure recall improvement. 3) Multilevel regression sensitivity: vary ICC in simulation, run power simulations, and report effect-size detection thresholds. 4) Ablation of build/config parsing to measure missed patterns due to build-tag complexity. All experiments must include held-out evaluation corpora and CI-checked regression tests against synthetic fixtures.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1) Detector error modes: false positives (benign patterns flagged) and false negatives (missed complex C macros or generated code). 2) Build reproducibility: external dependencies, network fetch failures, platform differences, and missing build tags may prevent builds or sanitizer runs. 3) Sanitizer coverage: ASan/UBSan support varies by platform and compiler; many failures may be non-reproducible across architectures. 4) Sampling bias: public GitHub data may not represent private or enterprise repositories; star-based sampling biases remain. 5) Annotation limitations: human disagreement and limited annotator pool may constrain label quality; κ may not reach high thresholds. 6) Licensing and data-sharing constraints: some C sources cannot be redistributed and will limit reproducibility of dynamic tests. 7) Compute and storage: large-scale builds, sanitizers, and repeated benchmarks require substantial CPU, memory, and storage resources. 8) Generalization: results apply to observed open-source Go projects and may not generalize to closed-source, niche embedded, or language-evolving codebases.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