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agentarc_eval</w:t>
      </w:r>
    </w:p>
    <w:p>
      <w:r>
        <w:t xml:space="preserve"> </w:t>
      </w:r>
    </w:p>
    <w:p>
      <w:pPr>
        <w:pStyle w:val="Heading2"/>
      </w:pPr>
      <w:r>
        <w:t>Title</w:t>
      </w:r>
    </w:p>
    <w:p>
      <w:r>
        <w:t>AgentArcEval: a scenario-driven, component-graph evaluation method for architecture-level assessment of foundation-model-based agents</w:t>
      </w:r>
    </w:p>
    <w:p>
      <w:r>
        <w:t xml:space="preserve"> </w:t>
      </w:r>
    </w:p>
    <w:p>
      <w:pPr>
        <w:pStyle w:val="Heading2"/>
      </w:pPr>
      <w:r>
        <w:t>Short Hypothesis</w:t>
      </w:r>
    </w:p>
    <w:p>
      <w:r>
        <w:t>A scenario-driven, component-graph evaluation using AgentArcEval will detect statistically significant differences (p &lt; 0.05) in severity-weighted expected-harm between distinct agent architecture families under a fractional-factorial design with K=30 replications per cell.</w:t>
      </w:r>
    </w:p>
    <w:p>
      <w:r>
        <w:t xml:space="preserve"> </w:t>
      </w:r>
    </w:p>
    <w:p>
      <w:pPr>
        <w:pStyle w:val="Heading2"/>
      </w:pPr>
      <w:r>
        <w:t>Related Work</w:t>
      </w:r>
    </w:p>
    <w:p>
      <w:r>
        <w:t>Existing evaluation work largely measures standalone large language models (LLMs) or end-to-end agent outputs using task benchmarks, adversarial prompts, or red-team exercises. Prior system-level evaluations focus on throughput, latency, or single-component robustness but rarely formalize component dependencies or provide machine-readable architecture descriptors. Methods for rare-event detection and adversarial importance sampling exist in statistics and applied ML testing, but they are rarely applied to compound agent architectures and often lack reproducible seeding, component extraction uncertainty, or standardized scenario catalogues. Reproducibility efforts provide environment capture and containerized runs but do not integrate extractor calibration or severity-weighted harm gating. Limitations: current approaches (1) do not evaluate architectural composition and interactions, (2) treat non-determinism ad hoc, (3) lack calibrated extractor uncertainty for inferred designs, and (4) provide weak protocols for bounding low-probability catastrophic behaviors.</w:t>
      </w:r>
    </w:p>
    <w:p>
      <w:r>
        <w:t xml:space="preserve"> </w:t>
      </w:r>
    </w:p>
    <w:p>
      <w:pPr>
        <w:pStyle w:val="Heading2"/>
      </w:pPr>
      <w:r>
        <w:t>Abstract</w:t>
      </w:r>
    </w:p>
    <w:p>
      <w:r>
        <w:t>Foundation-model-based agents combine large language models, planners, tools, and memory into compound, evolving architectures. Standard model-centric evaluations miss architecture-level failure modes, non-deterministic behavior, and rare but severe harms. We present AgentArcEval, a method that (1) represents agent architectures as a canonical component-graph, (2) uses a curated scenario catalogue to generate structured evaluation instances, (3) applies fractional-factorial experimental designs with deterministic seeding or structured replication, and (4) employs adversarial importance sampling plus bootstrap and hierarchical inference to detect and quantify safety-relevant failures. Core contributions are a machine-readable schema for architectures, an extractor protocol with per-field confidence, and statistical pipelines that produce severity-weighted expected-harm scores with confidence bounds. Expected outcome: reproducible, interpretable comparisons of architecture variants that reveal architecture-induced safety and performance differences, enable gating decisions based on quantified risk, and provide calibrated evidence for deployment or redesign choices.</w:t>
      </w:r>
    </w:p>
    <w:p>
      <w:r>
        <w:t xml:space="preserve"> </w:t>
      </w:r>
    </w:p>
    <w:p>
      <w:pPr>
        <w:pStyle w:val="Heading2"/>
      </w:pPr>
      <w:r>
        <w:t>Methodology</w:t>
      </w:r>
    </w:p>
    <w:p>
      <w:r>
        <w:t>1) Schema and artifacts: define a Protobuf component-graph schema (components, directed edges, interface contracts, determinism profile, update policy) and JSON-LD scenario templates (task prompt, I/O schemas, adversary model, success criteria, trace log schema). 2) Design extractor: parse OpenAPI/IDL, Docker manifests, and runtime traces to emit the canonical graph plus per-field inference_confidence. Inference_confidence is a numeric score (0-1) that reflects extraction certainty. 3) Scenario catalogue: produce machine-readable scenarios that specify adversary strata and success/risk predicates. 4) Experimental design: choose top factors and run a fractional-factorial design (resolution V) with 2^(6-2)=16 cells per scenario. Fractional-factorial means we test a subset of combinations to estimate main effects and two-way interactions; it reduces runs while preserving key contrasts. 5) Replication and seeding: use fixed seeds where supported; where not, run K=30 independent replications and log per-run trace IDs and environment fingerprints. 6) Rare-event sampling: implement adversarial importance sampling (IS). Importance sampling draws more samples from high-risk strata (proposal q) and reweights observations by p/q to estimate true probabilities. 7) Metrics and statistics: compute task_success_rate, safety_violation_rate, hallucination_rate, latency p50/p95, reproducibility_variance, and severity-weighted expected-harm. Use bootstrap for 95% confidence intervals (resampling observed runs) and Clopper-Pearson for binomial upper bounds. 8) Inference: apply paired permutation tests and Bayesian hierarchical models to attribute effects to architecture while propagating extractor uncertainty. A Bayesian hierarchical model treats architecture and scenario as grouped effects; extractor uncertainty can be included as a measurement-error term. 9) Reporting: produce machine-checkable metric definitions and unit tests, and publish reproducible artifacts (container images, RNG seeds, hardware fingerprints). Technical terms explained: bootstrap = resampling runs with replacement to estimate uncertainty; importance sampling = biased sampling to focus on rare events with correction weights; hierarchical model = a statistical model that pools information across scenarios and architectures.</w:t>
      </w:r>
    </w:p>
    <w:p>
      <w:r>
        <w:t xml:space="preserve"> </w:t>
      </w:r>
    </w:p>
    <w:p>
      <w:pPr>
        <w:pStyle w:val="Heading2"/>
      </w:pPr>
      <w:r>
        <w:t>Experiments</w:t>
      </w:r>
    </w:p>
    <w:p>
      <w:r>
        <w:t>Datasets: three machine-readable scenarios (long-horizon planning, memory-contradiction recovery, tool-contract drift) with deterministic and adversarial tool-response generators; synthetic tool suites and recorded traces from two checkpoint types (one open-source LLM, one API-licensed LLM). Baselines: (A) single-run output-level evaluation per scenario; (B) per-component isolated stress tests (no architecture composition). Agent variants: two architecture families (reactive LLM controller + loose adapters; hierarchical planner + strict typed tool interfaces + persistent memory). For each family: test two model checkpoints. Design: for each scenario and architecture family run fractional-factorial across six factors producing 16 cells. Per cell run K=30 replications when seeding infeasible, otherwise seeded single runs for deterministic factors. Total runs per pilot: 2 families × 2 checkpoints × 3 scenarios × 16 cells × 30 reps = 5,760 runs (note this counts each replication separately). Evaluation metrics: task_success_rate (mean + 95% bootstrap CI), safety_violation_rate (count + CI), hallucination_rate (proportion), latency_p50/p95, reproducibility_variance, severity-weighted expected-harm (weights: catastrophic=100, high=10, medium=1, low=0.1). Statistical tests: paired permutation tests for within-architecture comparisons, ANOVA-style contrasts from fractional factorial for main effects, Bayesian hierarchical model for pooled attribution with extractor uncertainty term; report p-values and posterior intervals. Ablation studies: (1) remove extractor uncertainty propagation and compare attribution results; (2) reduce K to 10 to observe variance changes; (3) disable importance sampling to measure detection power for rare events. Compute estimate: provide per-run GPU-hour and storage logs; expected pilot GPU-hours ~2,000 for the demonstration-scale runs and adversarial amplification overheads reported separately. Acceptance criteria: detect architecture effect on severity-weighted expected-harm with p &lt; 0.05 or posterior probability &gt; 0.95 in Bayesian model for at least one scenario.</w:t>
      </w:r>
    </w:p>
    <w:p>
      <w:r>
        <w:t xml:space="preserve"> </w:t>
      </w:r>
    </w:p>
    <w:p>
      <w:pPr>
        <w:pStyle w:val="Heading2"/>
      </w:pPr>
      <w:r>
        <w:t>Risk Factors And Limitations</w:t>
      </w:r>
    </w:p>
    <w:p>
      <w:r>
        <w:t>1) Extractor calibration risk: extractor inference_confidence may be poorly calibrated, causing misattribution; extractor validation datasets may be hard to assemble. 2) Adversary sampling bias: importance sampling depends on realistic adversary priors; poorly chosen proposals q can inflate variance or miss strata. 3) Rare-event sample complexity: naive bounds for extremely low target probabilities require infeasible n (e.g., 1e-4 needs ~30k runs without IS). 4) Compute and human cost: adversarial amplification and human labeling for hallucination/safety labels require significant GPU hours and annotator time. 5) Non-identifiability: extractor noise, correlated factors, and low event counts can make architecture effects unidentifiable. 6) Reproducibility limits: hardware or API version drift can prevent exact replication despite containerization. 7) Generalization limits: conclusions may not generalize to unseen tools, larger scale deployments, or different LLM families. 8) Governance constraints: red-team access and sensitive traces may be restricted, limiting adversarial realism. 9) Unit-test coverage: behavioral worst-case chaining may escape unit tests, leaving hidden failure modes.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