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refa_devsecops_longitudinal</w:t>
      </w:r>
    </w:p>
    <w:p>
      <w:r>
        <w:t xml:space="preserve"> </w:t>
      </w:r>
    </w:p>
    <w:p>
      <w:pPr>
        <w:pStyle w:val="Heading2"/>
      </w:pPr>
      <w:r>
        <w:t>Title</w:t>
      </w:r>
    </w:p>
    <w:p>
      <w:r>
        <w:t>A stepped-wedge longitudinal evaluation of REFA to align DevOps with IEC 62443-4-1 for continuous security compliance</w:t>
      </w:r>
    </w:p>
    <w:p>
      <w:r>
        <w:t xml:space="preserve"> </w:t>
      </w:r>
    </w:p>
    <w:p>
      <w:pPr>
        <w:pStyle w:val="Heading2"/>
      </w:pPr>
      <w:r>
        <w:t>Short Hypothesis</w:t>
      </w:r>
    </w:p>
    <w:p>
      <w:r>
        <w:t>Teams adopting the REFA lifecycle will increase their Compliance Coverage score by at least 8 percentage points relative to matched control teams within six months of adoption, measured biweekly and analyzed with mixed-effects models.</w:t>
      </w:r>
    </w:p>
    <w:p>
      <w:r>
        <w:t xml:space="preserve"> </w:t>
      </w:r>
    </w:p>
    <w:p>
      <w:pPr>
        <w:pStyle w:val="Heading2"/>
      </w:pPr>
      <w:r>
        <w:t>Related Work</w:t>
      </w:r>
    </w:p>
    <w:p>
      <w:r>
        <w:t>Existing work integrates security into DevOps through practices called DevSecOps, compliance-as-code, policy-as-code, SBOM generation, and automated SAST/DAST/SCA pipelines. Prior approaches show that automation and tool integration can reduce certain classes of vulnerabilities and improve traceability, but they often lack: (1) a prescriptive mapping from process steps to a formal security standard (such as IEC 62443-4-1), (2) end-to-end artifact provenance and cryptographic chain-of-custody, (3) validated automated scoring against blinded expert audits, and (4) longitudinal, multi-site evidence measuring adoption, contamination, and human training effects. Many studies are cross-sectional or short-duration pilots and do not evaluate cost, mediation by training, or robust missing-data and contamination handling. Automated classifiers are frequently reported without held-out blinded validation or pre-registered calibration rules. These gaps limit regulator credibility and cross-site reproducibility.</w:t>
      </w:r>
    </w:p>
    <w:p>
      <w:r>
        <w:t xml:space="preserve"> </w:t>
      </w:r>
    </w:p>
    <w:p>
      <w:pPr>
        <w:pStyle w:val="Heading2"/>
      </w:pPr>
      <w:r>
        <w:t>Abstract</w:t>
      </w:r>
    </w:p>
    <w:p>
      <w:r>
        <w:t>Critical-infrastructure teams must satisfy IEC 62443-4-1 security requirements while adopting DevOps practices. We propose and evaluate REFA, a prescriptive DevOps lifecycle aligned to IEC 62443-4-1 that combines a clause-to-artifact traceability matrix, automated policy-as-code gates, signed release manifests, and role-tailored training. We will run a stepped-wedge longitudinal study across multiple site clusters, collecting biweekly evidence bundles and automated telemetry. Primary contribution: a reproducible protocol that operationalizes Compliance Coverage and related metrics (automated-control coverage, severity-weighted defect density, SBOM completeness), validated by blinded expert audits and pre-registered mixed-effects analyses. Expected outcome: empirical estimates of REFA’s effect size on compliance, measured classifier performance for automated scoring, and quantified training mediation and adoption costs. The study produces open replication artifacts (manifest schema, synthetic datasets, SIMR power code) and practical guidance for practitioners and regulators.</w:t>
      </w:r>
    </w:p>
    <w:p>
      <w:r>
        <w:t xml:space="preserve"> </w:t>
      </w:r>
    </w:p>
    <w:p>
      <w:pPr>
        <w:pStyle w:val="Heading2"/>
      </w:pPr>
      <w:r>
        <w:t>Methodology</w:t>
      </w:r>
    </w:p>
    <w:p>
      <w:r>
        <w:t>1) Standard mapping: build a traceability matrix that links each REFA lifecycle step to IEC 62443-4-1 clause families. A traceability matrix is a table that shows which artifact supports which clause. 2) Artefact catalogue: define a minimal set of artifacts per release (threat model, requirements trace, architecture notes, SAST/DAST/SCA reports, SBOM, test results, remediation evidence). 3) Canonical manifest: produce a signed manifest.json per release listing artifact_id, hash, signer_key_id, RFC3161 timestamp, and mapped clause ids. Explain: RFC3161 is a timestamp standard; SBOM is a software bill of materials listing components. 4) Tool adapters: implement lightweight collectors for Git, CI (GitHub Actions/Jenkins), issue trackers (Jira), and registries that emit versioned, signed JSON artifacts. 5) Automated gates: implement policy-as-code checks (machine-readable rules) in CI to assert clause-level controls and flag automated assertions. Policy-as-code means encoding rules that pipelines can check automatically. 6) Metrics: compute Compliance Coverage = 100 * (sum(weight_clause * assertion_status) / sum(weights)), where assertion_status ∈ {1.0,0.5,0.0} and weights={critical:3,high:2,medium:1}. Compute Automated-Control Coverage, Severity-Weighted Defect Density, SBOM completeness, and Time-to-Evidence. 7) Validation: sample stratified evidence bundles for blinded audits by three IEC 62443 experts; compute Cohen’s kappa and Krippendorff’s alpha. 8) Study design: stepped-wedge randomization at team level, biweekly measurements for 12 months, pre-register mixed-effects models. 9) Data integrity: require artifact signing (X.509/OpenPGP or approved fallback), store artifacts in WORM-capable object stores. 10) Training: deliver role-specific microlearning, measure knowledge via a 20–40 item instrument with retention at 1 and 6 months. 11) Pre-registration and code: publish SIMR power grids, manifest schema, sampling algorithm, and synthetic data for replication.</w:t>
      </w:r>
    </w:p>
    <w:p>
      <w:r>
        <w:t xml:space="preserve"> </w:t>
      </w:r>
    </w:p>
    <w:p>
      <w:pPr>
        <w:pStyle w:val="Heading2"/>
      </w:pPr>
      <w:r>
        <w:t>Experiments</w:t>
      </w:r>
    </w:p>
    <w:p>
      <w:r>
        <w:t>Datasets: telemetry and artifact bundles from 6–8 site clusters, each with 1–3 product teams; biweekly releases over 12 months; baseline data collected for 8 weeks pre-adoption. Include two pilot sectors: an ICS vendor and a utility operator. Baselines: matched control teams continuing standard DevOps without REFA. Baseline datasets will include: artifact manifests, CI logs, SAST/DAST/SCA outputs, SBOMs, defect lists with severities, and training survey responses. Evaluation metrics: primary = Compliance Coverage (0–100%); secondary = Automated-Control Coverage (%), Severity-Weighted Defect Density (defect_score/KLOC), SBOM completeness (%), Time-to-Evidence (days), classifier ROC AUC and precision/recall, inter-rater Cohen’s kappa for audits, and cost-per-percentage-point compliance. Statistical model: pre-registered mixed-effects model: ComplianceScore_it ~ Time_it + REFA_phase_it + Spillover_it + TrainingScore_it + (1|Site/Team) + covariates. Multiplicity: pre-specify primary outcome and apply Holm correction for secondary outcomes. Power: SIMR simulations targeting power 0.8, alpha 0.05, ICC range 0.03–0.08; report full sensitivity grids. Validation experiments: 1) Automated scoring validation — held-out blinded set of &gt;=200 evidence bundles stratified by site/time; three expert labels per bundle; report ROC AUC, precision@recall, and kappa; retrain rules only if pre-registered calibration triggers met. 2) Ablation studies — compare (A) full REFA, (B) REFA without automated gates, (C) REFA without training, and (D) control; measure Compliance Coverage trajectories and cost metrics. 3) Robustness checks — run MNAR sensitivity models (pattern-mixture and selection models) and contamination analyses using spillover covariates and instrumental-variable checks if contamination thresholds exceeded. Implementation details: biweekly data pulls, fixed preprocessing scripts, locked model formulas, and public SIMR code and synthetic datasets released at pre-specified milestones.</w:t>
      </w:r>
    </w:p>
    <w:p>
      <w:r>
        <w:t xml:space="preserve"> </w:t>
      </w:r>
    </w:p>
    <w:p>
      <w:pPr>
        <w:pStyle w:val="Heading2"/>
      </w:pPr>
      <w:r>
        <w:t>Risk Factors And Limitations</w:t>
      </w:r>
    </w:p>
    <w:p>
      <w:r>
        <w:t>Technical integration failures: tool adapters may not work uniformly across diverse toolchains, causing incomplete artifact capture. Automated scoring errors: high false positive or negative rates may bias Compliance Coverage. Inter-rater reliability risks: auditors may not reach kappa ≥0.7, reducing confidence in automated validation. Contamination: cross-team information flow may dilute treatment effects and complicate causal inference. Missing data and MNAR: non-random missing evidence or attrition can bias estimates despite imputation. Legal and operational constraints: partners may be unable to provide signed artifacts, RFC3161 timestamps, or export telemetry due to policy. Generalization limits: results from ICS/utility pilots may not generalize to other sectors or small teams. Scalability and compute: storage and cryptographic signing at scale can be costly and require HSMs and WORM storage. Sample size and power: fewer-than-planned clusters or high attrition may render the study underpowered to detect the pre-specified 8 percentage-point effect.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