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frequency_metadescriptor_streams</w:t>
      </w:r>
    </w:p>
    <w:p>
      <w:r>
        <w:t xml:space="preserve"> </w:t>
      </w:r>
    </w:p>
    <w:p>
      <w:pPr>
        <w:pStyle w:val="Heading2"/>
      </w:pPr>
      <w:r>
        <w:t>Title</w:t>
      </w:r>
    </w:p>
    <w:p>
      <w:r>
        <w:t>Frequency-filtering metadescriptors for concept identification in nonstationary data streams</w:t>
      </w:r>
    </w:p>
    <w:p>
      <w:r>
        <w:t xml:space="preserve"> </w:t>
      </w:r>
    </w:p>
    <w:p>
      <w:pPr>
        <w:pStyle w:val="Heading2"/>
      </w:pPr>
      <w:r>
        <w:t>Short Hypothesis</w:t>
      </w:r>
    </w:p>
    <w:p>
      <w:r>
        <w:t>Variance-filtered frequency-domain metadescriptors computed from batch spectral summaries and projected by incremental dimensionality reduction produce better concept separation (higher ARI) under concept drift than baselines using raw spatial features or unfiltered spectra.</w:t>
      </w:r>
    </w:p>
    <w:p>
      <w:r>
        <w:t xml:space="preserve"> </w:t>
      </w:r>
    </w:p>
    <w:p>
      <w:pPr>
        <w:pStyle w:val="Heading2"/>
      </w:pPr>
      <w:r>
        <w:t>Related Work</w:t>
      </w:r>
    </w:p>
    <w:p>
      <w:r>
        <w:t>Existing approaches analyze nonstationary streams using time-domain drift detectors, spectral summaries, online clustering, and streaming dimensionality reduction. Many spectral methods use power-only summaries (periodogram or STFT) to detect drift but ignore phase and cross-channel coherence. Online clustering and incremental PCA provide scalable embeddings, but prior pipelines often lack robust cross-batch variance filtering, finite-sample calibration for frequency selection, principled multiple-testing under frequency dependence, and inverse-reconstruction for interpretability. Multichannel cross-spectral density (CSD) work is effective for coherent mode detection but scales poorly in channels (quadratic cost) and is rarely integrated with streaming robust estimators (MAD, permutation tests) or with lightweight failure diagnostics (mixed-batch detection, heavy tails). These limitations reduce sensitivity to informative bands, hurt interpretability, and make deployment fragile under heavy-tailed noise and correlated channels.</w:t>
      </w:r>
    </w:p>
    <w:p>
      <w:r>
        <w:t xml:space="preserve"> </w:t>
      </w:r>
    </w:p>
    <w:p>
      <w:pPr>
        <w:pStyle w:val="Heading2"/>
      </w:pPr>
      <w:r>
        <w:t>Abstract</w:t>
      </w:r>
    </w:p>
    <w:p>
      <w:r>
        <w:t>We propose a frequency-domain metadescriptor pipeline that characterizes nonstationary data streams by identifying informative spectral components across batches, filtering them by robust cross-batch variance, and producing low-dimensional, interpretable descriptors for concept identification. For each incoming batch we compute per-frequency spectral summaries (power and cross-spectral modes), track robust variance across batches with EWMA or MAD-based estimators, and select informative frequencies using permutation-based p-values with FDR control or a percentile fallback when batches are few. We augment power features with phase and coherence statistics, then apply incremental dimensionality reduction (incremental PCA or compact streaming autoencoder) to produce metadescriptors. Selected complex coefficients allow inverse reconstruction to spatial prototypes for interpretability. The main contribution is an end-to-end, online, statistically calibrated workflow that preserves semantic signal structure while reducing dimensionality and enabling streaming clustering and drift identification. Expected outcome: improved concept separation and interpretable prototypes with quantified finite-sample behavior suitable for reproducible CI-driven evaluation.</w:t>
      </w:r>
    </w:p>
    <w:p>
      <w:r>
        <w:t xml:space="preserve"> </w:t>
      </w:r>
    </w:p>
    <w:p>
      <w:pPr>
        <w:pStyle w:val="Heading2"/>
      </w:pPr>
      <w:r>
        <w:t>Methodology</w:t>
      </w:r>
    </w:p>
    <w:p>
      <w:r>
        <w:t>1) Preprocessing: for each batch of raw samples, apply deterministic preprocessing: resample if needed, detrend, per-channel z-score using a fixed training window, then window into frames (example: STFT window 512, hop 256). 2) Per-batch spectral estimation: compute spectral power S_b(f) per frequency f and channels C using STFT or multitaper (a multitaper uses several orthogonal tapers to reduce variance). Also compute cross-spectral density (CSD) matrices per band to capture multichannel coherence; CSD is a matrix of pairwise cross-spectra. 3) Robust cross-batch variance tracking: maintain for each f a robust running central tendency and dispersion using EWMA (alpha) and MAD-style updates or Welford for variance; update cost is O(F) per batch. EWMA: mu &lt;- (1-α) mu + α S_b. MAD proxy: mad &lt;- (1-β) mad + β |S_b - mu|. 4) Frequency selection: compute permutation p-values by permuting batch labels or using block-permutation sized by estimated coherence length; apply Benjamini–Hochberg FDR at q (default 0.05). If m is small, use percentile fallback retaining top p% variance-ranked frequencies. 5) Phase and coherence features: compute phase-locking value (PLV) and circular variance per selected band; circular variance measures spread of angles (phase). Include principal eigenvalue variance of CSD to capture coherent multichannel modes. 6) Metadescriptor formation: concatenate selected band magnitudes (z-scored), CSD principal-mode scores, and phase/circular stats into a vector x_b. 7) Incremental dimensionality reduction: apply Oja-style incremental PCA to update top-k components with O(d·k) per batch, or run a compact streaming autoencoder (one forward/backpass per batch). Periodically orthonormalize components. 8) Clustering &amp; metalearning: run incremental k-means or online GMM on reduced metadescriptors every T batches; maintain prototypes with EWMA forgetting. 9) Inverse reconstruction: retain complex coefficients for selected bands to inverse-transform masked spectra (iFFT) and produce spatial prototypes for each cluster. 10) Diagnostics: compute per-frequency kurtosis, QQ plots, within-batch clustering silhouette, CI widths (bootstrap), and runtime logs. Complexity notes: spectral estimation O(C L log L), variance updates O(F), CSD naive O(C^2 F) but use low-rank sketches when C large.</w:t>
      </w:r>
    </w:p>
    <w:p>
      <w:r>
        <w:t xml:space="preserve"> </w:t>
      </w:r>
    </w:p>
    <w:p>
      <w:pPr>
        <w:pStyle w:val="Heading2"/>
      </w:pPr>
      <w:r>
        <w:t>Experiments</w:t>
      </w:r>
    </w:p>
    <w:p>
      <w:r>
        <w:t>Datasets: (1) Synthetic generator with labeled drifts: abrupt, incremental, recurring, mixed-concept batches; configurable SNR and channel counts. (2) EEG: CHB-MIT seizure subset (public EEG recordings) using selected channels and metadata. (3) Audio: DCASE2017 urban sound subset. (4) Wearables: UCI HAR dataset (accelerometer). Baselines: A) Raw-feature incremental k-means (time-domain features), B) Unfiltered spectral method: per-batch full-spectrum features + incremental PCA, C) Power-only variance filtering (no phase/coherence), D) Offline oracle: supervised low-dim embedding from labeled batches (upper bound). Metrics: Adjusted Rand Index (ARI) for concept separation, Adjusted Mutual Information (AMI), silhouette and cluster stability index, reconstruction mean-squared error (MSE) between reconstructed prototype and batch centroid, drift detection delay (batches), false positive rate (FPR) for drift alarms, frequency-selection FDR and power (true informative-frequency recall), per-batch runtime and peak memory. Experimental setup: fix STFT params (window 512, hop 256), frequency bins F=256, batches m swept in {20,50,100,200}, batch size samples set per dataset (EEG: 1s–5s windows; audio: 1s frames; HAR: 2s). Use multitaper NW=3 as alternative estimator. Run 20 random seeds per condition. Permutation counts: 1000 for final runs, 200 for pilot runs. Ablation studies: (i) remove phase/coherence features vs full pipeline, (ii) FDR selection vs percentile-top5% selection, (iii) incremental PCA vs streaming autoencoder, (iv) full CSD vs low-rank sketch. Report metrics with 95% bootstrap CIs and plot ARI vs batch count and SNR. All experiments use fixed RNG seeds and standardized preprocessing scripts.</w:t>
      </w:r>
    </w:p>
    <w:p>
      <w:r>
        <w:t xml:space="preserve"> </w:t>
      </w:r>
    </w:p>
    <w:p>
      <w:pPr>
        <w:pStyle w:val="Heading2"/>
      </w:pPr>
      <w:r>
        <w:t>Risk Factors And Limitations</w:t>
      </w:r>
    </w:p>
    <w:p>
      <w:r>
        <w:t>1) EWMA effective-sample mapping: heuristics for m_eff can fail under strong autocorrelation or non-iid batches; estimates will have uncertainty and may miscalibrate frequency selection. 2) Heavy-tailed noise and outliers: MAD and bootstrap increase robustness but can inflate variance estimates, reducing power for frequency selection. 3) CSD scalability: naive CSD costs O(C^2 F); low-rank sketches may miss important pairwise coherence when channel graphs are dense. 4) Within-batch nonstationarity and mixed-concept batches: batch-level summaries assume short-term stationarity; violation leads to misleading variance and blurred prototypes. 5) Downweighting and forgetting: large forgetting factors or aggressive EWMA can erase recurring concepts, harming long-term recognition. 6) Inverse-reconstruction fidelity: spatial prototypes reconstructed from a subset of bands lose high-frequency or transient details; MSE depends strongly on retained-band count and SNR. 7) Multiple-testing under frequency dependence: block-permutation can fail if coherence-length estimates are wrong, producing miscalibrated FDR. 8) Compute and CI budgets: permutation/bootstrap-heavy calibration is expensive; per-PR limits may force reduced permutation counts with higher uncertainty. 9) Dataset and labeling biases: chosen public datasets may not cover all real-world drift types or channel topologies, limiting generalization. 10) Failure under adversarial or highly correlated noise: low-rank approximations and variance filters can be misled when noise aligns with informative bands.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