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coverforest_oob_conformal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Efficient conformal prediction with random forests via out-of-bag aggregation and optimized backends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Accelerating out-of-bag (OOB) conformity-score aggregation using optimized random-forest backends and randomized tree thinning yields conformal prediction sets whose marginal coverage deviates by at most 1% from CV+/jackknife+ baselines while reducing runtime or peak memory usage by at least 2x on large datasets.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conformal methods for prediction sets include split-conformal (holdout) calibration, CV+ (cross-validated conformal), and jackknife+-style approaches; these provide distribution-free marginal guarantees under exchangeability but can be computationally expensive when retraining or re-evaluating many models. Random forests naturally produce out-of-bag (OOB) predictions that can reuse training trees for calibration, but prior work has not fully characterized dependence among OOB scores or provided production-ready, optimized implementations. Ensemble libraries (scikit-learn, LightGBM, XGBoost) differ in exposing tree internals and OOB masks; many optimized backends lack native OOB support, forcing manual bagging or full retraining. Multiclass adaptive prediction-set constructions and practical heuristics (per-class normalization, randomized tie-breaking) are not widely standardized in library form. Gaps: unclear finite-sample validity for aggregated OOB scores under tree-sharing dependence, high compute/memory costs for large n_trees and n, and lack of deterministic parallel, backend-agnostic APIs.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practical system that delivers distribution-free conformal prediction sets for regression and classification by leveraging randomized forest ensembles with accelerated out-of-bag (OOB) score aggregation. The approach reuses trained trees to compute calibration scores per sample, and it couples randomized tree thinning, deterministic parallel execution, and Cython/OpenMP kernels to reduce runtime and memory. We design a backend adapter interface to support scikit-learn, LightGBM, and XGBoost, including deterministic manual bagging where native OOB is absent. For multiclass problems we define an adaptive prediction-set algorithm using score = 1 − predicted class probability, per-class normalization, and seeded randomized tie-breaking to control marginal and approximate class-conditional coverage. The main contribution is an integrated, reproducible implementation strategy that quantifies OOB dependence via an effective sample-size bound, provides automatic thinning heuristics, and measures coverage, set size, and resource usage. Expected outcome: near-baseline coverage with significantly lower compute/memory costs on large ensembles, enabling practical uncertainty quantification at scale.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Definitions (simple explanations):</w:t>
        <w:br/>
        <w:t xml:space="preserve">   - Out-of-bag (OOB): for each tree in a bagged forest, the training samples not used to build that tree; OOB prediction uses only trees that did not see the sample during training.</w:t>
        <w:br/>
        <w:t xml:space="preserve">   - Thinning: randomly selecting a fraction t of trees per sample to reduce correlation between OOB scores; smaller t reduces dependence but uses fewer trees.</w:t>
        <w:br/>
        <w:t xml:space="preserve">   - Jackknife+/CV+: variants of conformal calibration that resample or cross-validate to restore finite-sample guarantees.</w:t>
        <w:br/>
        <w:br/>
        <w:t>2) Core implementation steps:</w:t>
        <w:br/>
        <w:t xml:space="preserve">   a) Backend adapter: define a Python interface with methods get_tree_predictions(X_batch), get_leaf_indices(X_batch), get_oob_mask(n_samples), and fit_if_needed(data, seed). Implement adapters for scikit-learn RF and a LightGBM prototype that does deterministic manual bagging when OOB masks are absent.</w:t>
        <w:br/>
        <w:t xml:space="preserve">   b) OOB bookkeeping: compute per-tree OOB masks (boolean per sample), store masks in bit-packed memory-mapped arrays for large n, and compute per-sample sets of tree indices that are OOB.</w:t>
        <w:br/>
        <w:t xml:space="preserve">   c) Fast aggregation kernels: implement Cython/OpenMP routines that (i) read OOB tree indices in parallel, (ii) fetch tree predictions or leaf-index cached values, and (iii) aggregate conformity scores into per-sample statistics in fixed deterministic order. Use per-worker local buffers then deterministic merge to avoid race conditions.</w:t>
        <w:br/>
        <w:t xml:space="preserve">   d) Deterministic parallelism: use a global RNG seed, derive per-tree PRNG streams deterministically, fix tree evaluation ordering, and control OpenMP env variables to ensure reproducibility across n_jobs.</w:t>
        <w:br/>
        <w:t xml:space="preserve">   e) Conformal algorithms:</w:t>
        <w:br/>
        <w:t xml:space="preserve">      - SplitConformalOOB: compute conformity scores for calibration samples using their OOB trees; compute empirical (1−α) quantile Q̂ and form prediction sets.</w:t>
        <w:br/>
        <w:t xml:space="preserve">      - CV+ and jackknife+-after-bootstrap: implement as alternatives; share the same aggregation kernels for scoring.</w:t>
        <w:br/>
        <w:t xml:space="preserve">      - Adaptive multiclass sets: define score_i,k = 1 − p̂_i(k), normalize scores per class by class-frequency or per-class quantile scaling, break ties with seeded random choices, and threshold to produce sets with desired marginal coverage.</w:t>
        <w:br/>
        <w:t xml:space="preserve">   f) Dependence quantification &amp; thinning: estimate pairwise correlation ρ̂ from calibration OOB scores; choose thinning fraction t automatically via a pilot: estimate ρ̂0 at t=1, solve t = min(1, target_delta * sqrt(n_cal/ρ̂0)). Implement thinning by assigning each sample a deterministic random subset of trees using per-sample PRNG streams.</w:t>
        <w:br/>
        <w:br/>
        <w:t>3) Outputs: API for fit(calibration_set), predict_sets(X, α), save()/load() that serialize OOB bookkeeping metadata and seed schedules.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</w:t>
        <w:br/>
        <w:t xml:space="preserve">  - Synthetic exchangeable regression: n ∈ {10k, 1e6}, p=50 or p=200, Gaussian features, homoskedastic and heteroskedastic noise.</w:t>
        <w:br/>
        <w:t xml:space="preserve">  - Synthetic non-exchangeable scenarios: introduce covariate shift in test set.</w:t>
        <w:br/>
        <w:t xml:space="preserve">  - Standard benchmarks: UCI Adult (classification, imbalance), MNIST subset (multiclass), California Housing (regression).</w:t>
        <w:br/>
        <w:br/>
        <w:t>Baselines:</w:t>
        <w:br/>
        <w:t xml:space="preserve">  - Split-conformal with an explicit holdout (retrain or reuse same ensemble with holdout set).</w:t>
        <w:br/>
        <w:t xml:space="preserve">  - CV+ (k-fold cross-validated conformal).</w:t>
        <w:br/>
        <w:t xml:space="preserve">  - Jackknife+ and jackknife+-after-bootstrap implemented per standard definitions.</w:t>
        <w:br/>
        <w:t xml:space="preserve">  - Naive OOB without thinning or optimization.</w:t>
        <w:br/>
        <w:br/>
        <w:t>Metrics:</w:t>
        <w:br/>
        <w:t xml:space="preserve">  - Marginal coverage: fraction of test points covered at α ∈ {0.05, 0.1}; report Wilson 95% interval.</w:t>
        <w:br/>
        <w:t xml:space="preserve">  - Class-conditional coverage for each class (multiclass) with Wilson intervals.</w:t>
        <w:br/>
        <w:t xml:space="preserve">  - Mean and median prediction-set size (number of labels or interval width).</w:t>
        <w:br/>
        <w:t xml:space="preserve">  - Runtime (wall-clock) for training + calibration and for predict_sets; peak memory usage.</w:t>
        <w:br/>
        <w:t xml:space="preserve">  - Reproducibility: byte-for-byte parity across n_jobs ∈ {1,2,4} for a fixed seed.</w:t>
        <w:br/>
        <w:t xml:space="preserve">  - Parity gap: absolute difference in set-size and coverage vs scikit-learn baseline.</w:t>
        <w:br/>
        <w:br/>
        <w:t>Experimental setup:</w:t>
        <w:br/>
        <w:t xml:space="preserve">  - Seeds: run R=100 independent seeds per configuration for statistical stability.</w:t>
        <w:br/>
        <w:t xml:space="preserve">  - Calibration sizes: n_cal ∈ {500, 2000}.</w:t>
        <w:br/>
        <w:t xml:space="preserve">  - Forest parameters: n_trees ∈ {200, 1000, 2000}; max_depth default.</w:t>
        <w:br/>
        <w:t xml:space="preserve">  - Thinning ablation: t ∈ {1.0, 0.5, 0.25}; measure coverage, set size, runtime, memory.</w:t>
        <w:br/>
        <w:t xml:space="preserve">  - Backend ablation: scikit-learn adapter vs LightGBM adapter (manual bagging) vs XGBoost adapter.</w:t>
        <w:br/>
        <w:t xml:space="preserve">  - Reproducibility tests: repeat identical seed and compare binary outputs and JSON metrics.</w:t>
        <w:br/>
        <w:br/>
        <w:t>Evaluation protocol:</w:t>
        <w:br/>
        <w:t xml:space="preserve">  - For each dataset and config, compute mean ± 95% CI over R seeds for coverage and set size.</w:t>
        <w:br/>
        <w:t xml:space="preserve">  - Acceptable thresholds for hypothesis test: coverage deviation ≤ 1% and runtime or memory reduction ≥ 2x compared to best baseline for large synthetic scenario.</w:t>
        <w:br/>
        <w:t xml:space="preserve">  - Produce JSON metrics per run for automated dashboarding.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Dependence among OOB scores: tree-sharing can inflate variance of empirical quantiles; pairwise correlation ρ may not fully summarize higher-order dependence, causing coverage deviation beyond derived bounds.</w:t>
        <w:br/>
        <w:t>2) Non-exchangeability and distribution shift: conformal guarantees rely on exchangeability; tests under covariate shift may fail and results will not be distribution-free.</w:t>
        <w:br/>
        <w:t>3) Estimator instability: small calibration sets lead to noisy estimates of ρ and unreliable automatic thinning decisions.</w:t>
        <w:br/>
        <w:t>4) Backend parity gaps: LightGBM/XGBoost splitting heuristics, feature subsampling, or numerical differences may produce nontrivial parity errors versus scikit-learn; perfect parity cannot always be guaranteed.</w:t>
        <w:br/>
        <w:t>5) Floating-point nondeterminism: compiler optimizations, BLAS, or OpenMP scheduling can produce non-bitwise-identical outputs across platforms even with deterministic seeding.</w:t>
        <w:br/>
        <w:t>6) Scalability limits: memory-mapped OOB masks and leaf-index caches reduce memory but can still be large for n=1e6 and n_trees=2000; I/O and mmap semantics vary by OS.</w:t>
        <w:br/>
        <w:t>7) Multiclass imbalance: class-conditional calibration requires large per-class calibration samples; rare classes will produce large or trivial prediction sets.</w:t>
        <w:br/>
        <w:t>8) Computational cost of rigorous alternatives: CV+ and jackknife+ provide stronger guarantees but may be too costly on large-scale problems, limiting trade-off choices.</w:t>
        <w:br/>
        <w:t>9) API and serialization complexity: persisting OOB bookkeeping and seed schedules increases API surface and may complicate model portability across environments.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