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sim2exp_byol_dann_concrete_damage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self-supervised domain adaptation framework combining BYOL and DANN for concrete damage classification from synthetic to experimental coda-wave signals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an encoder with BYOL on synthetic coda-wave data and then adapting it with adversarial domain alignment (DANN) plus minimum class confusion (MCC) will produce higher classification accuracy on unlabeled experimental concrete measurements than a model trained only on source (synthetic) labels.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splits into two main groups: (1) physics-driven synthetic data for structural health monitoring and coda-wave analysis, and (2) domain adaptation and self-supervised learning methods from machine learning. Common adaptation methods include domain-adversarial training (DANN), moment-matching (MMD, CORAL), and conditional/adaptive variants (CDAN). Self-supervised representation learning methods (BYOL, SimCLR, InfoNCE) are used to learn robust embeddings without labels. Existing efforts combine synthetic and real data but face limitations: synthetic sets often lack validated fidelity to experimental coda statistics, adversarial approaches can be unstable or cause negative transfer, self-supervised objectives can collapse without careful regularization, and prior studies rarely integrate physics-informed augmentations, robust noisy-label handling, or pre-registered ablations with reproducible pipelines. Active learning and uncertainty-aware pseudo-labeling are under-explored for this domain.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 classification models from labeled synthetic ultrasonic coda-wave data to unlabeled experimental concrete measurements. We propose a pipeline that 1) generates large-scale synthetic coda-wave waveforms via multiscale concrete and ultrasonic simulations, and 2) trains a shared encoder using self-supervised BYOL (Bootstrap Your Own Latent) followed by joint adaptation with domain-adversarial training (DANN) and a minimum class confusion (MCC) loss. BYOL learns invariant features without labels; DANN reduces domain shift by aligning source and target embeddings; MCC discourages degenerate class collapse on the unlabeled target. The main contribution is an integrated, reproducible framework combining simulation-driven data, physics-informed augmentations, and a stability-aware joint loss to improve real-world damage classification. We expect the combined strategy to reduce domain gap metrics (MMD/FID) and to increase experimental classification accuracy and calibration compared to source-only and single-method baselines.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Synthetic data generation: build a virtual testing platform that simulates ultrasonic wave propagation through multiscale concrete models. Model heterogeneity (aggregate size distributions, porosity, correlation length), scattering, frequency-dependent attenuation, transducer impulse responses, and coupling variability. Produce labeled synthetic coda-wave records with metadata (sample_id, damage_mode, severity, material_params, sensor_layout, SNR, solver_settings, provenance).</w:t>
        <w:br/>
        <w:t>2. Preprocessing: apply linear-phase bandpass matched to transducer band, DC removal, per-sensor Wiener deconvolution (Tikhonov regularized), coarse alignment via GCC-PHAT, fine coda alignment via constrained DTW, and robust amplitude normalization while saving coupling_quality metadata.</w:t>
        <w:br/>
        <w:t>3. Feature inputs: compute multi-resolution STFT spectrograms, complex Morlet scalograms, MFCC-like cepstral descriptors, scattering transform coefficients, and cross-channel correlation PCA projections. Provide a multi-stream encoder that accepts spectrograms and auxiliary metadata.</w:t>
        <w:br/>
        <w:t>4. Augmentations: physics-informed transforms including time scaling (±5%), frequency-dependent attenuation, instrument IR convolution variability, coupling dropouts, temperature-based time shifts, and additive mixed noise (white + 1/f). Tune augmentation magnitudes by minimizing embedding MMD between synthetic and unlabeled experimental pilot.</w:t>
        <w:br/>
        <w:t>5. Training pipeline: (a) BYOL warmup: self-supervised pretraining on synthetic and unlabeled experimental data using BYOL (online and target encoders, stop-gradient on target, predictor = 2-layer MLP). (b) Joint adaptation: continue training with combined loss L = L_ce(source) + λ_adv L_adv + λ_mcc L_mcc + λ_byol L_byol + L_reg. Use initial weights λ_adv=0.5, λ_mcc=0.1, λ_byol=0.1. Warmup BYOL for 5 epochs, then enable DANN with gradient reversal multiplier ramped 0→1 over first 10k steps. MCC uses temperature-scaled softmax (τ default 0.1) plus entropy regularizer.</w:t>
        <w:br/>
        <w:t>6. Optimization &amp; monitoring: use Adam/SGD with cosine LR, weight decay 1e-6. Monitor embedding effective rank, top-eigenvalue fraction, per-class confidence, BYOL loss plateaus, MMD (RBF), adapted FID, and Wasserstein distance. Log all configs and runs in MLflow/DVC, run experiments in containers (Docker/Singularity).</w:t>
        <w:br/>
        <w:t>7. Active learning &amp; label noise: when proxy labels exist, estimate noise rate; if &gt;0.1 use robust losses (Symmetric Cross Entropy or Generalized Cross Entropy). For label acquisition, combine uncertainty (entropy) and diversity (k-means margin) to select samples for destructive labeling.</w:t>
        <w:br/>
        <w:t>8. HPO: use Optuna (TPE) with SuccessiveHalvingPruner over search ranges for λ_adv, λ_mcc, λ_byol, τ, and lr. Pre-register ablation toggles and run multiple seeds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Synthetic: 10k mixed-fidelity labeled coda-wave samples spanning damage modes (microcrack, macrocrack, delamination, porosity) and five severity levels; pilot 200-sample set for calibration. (B) Experimental: unlabeled pool of field/lab measurements with a held-out destructive-validation set (10% of specimens stratified across modes/severities) reserved as final test.</w:t>
        <w:br/>
        <w:t>Baselines: source-only supervised trained on synthetic labels; few-shot finetune with labeled experimental budgets [25,50,100,200]; CORAL; MMD-regularized adaptation; CDAN; BYOL-only pretrain; DANN-only adaptation; SimCLR/InfoNCE pretrain; pseudo-label self-training.</w:t>
        <w:br/>
        <w:t>Evaluation metrics: classification accuracy, F1-score, Matthews Correlation Coefficient (MCC), AUROC, Expected Calibration Error (ECE), Brier score, embedding MMD (RBF median heuristic), adapted FID on activations, embedding effective rank. Report 95% confidence intervals via paired bootstrap.</w:t>
        <w:br/>
        <w:t>Experimental setup: for each experiment cell run 5 random seeds. Use paired bootstrap or permutation tests for significance. Training specifics: BYOL momentum schedule linear 0.99→0.999 over 200 epochs (if full training), predictor MLP hidden dim 512→256, weight decay 1e-6, cosine LR. DANN gradient reversal ramp 0→1 over 10k steps. Ablation study (pre-registered): single-factor ablation varying λ_mcc ∈ {0,0.05,0.1,0.2} and τ ∈ {0.05,0.1,0.2}; measure effect sizes and 95% CIs. Label-budget sweep: evaluate at budgets [0,25,50,100,200]. Stopping and diagnostics: if embedding effective rank &lt;10% baseline or top-eigenvalue fraction &gt;0.9, mark run as collapsed and record for analysis. Compute estimates: BYOL pretrain on 10k ≈100–300 GPU-hr; record GPU-hr per HPO trial.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Simulator fidelity mismatch: simulated coda statistics may not capture real scattering/attenuation, causing irreducible domain gap. 2. Representation collapse: BYOL or MCC can cause collapsed embeddings; monitoring may detect but not always correct collapse. 3. Adversarial negative transfer: DANN can reduce task-relevant features if discriminator overpowers encoder. 4. Noisy or biased experimental proxy labels: high label noise degrades finetuning and pseudo-labeling. 5. Hardware and acquisition limits: transducer bandwidth, ADC sampling, and coupling variability constrain what physics can be simulated and measured. 6. Compute and scale: multiscale ultrasonic simulations and BYOL HPO are compute-intensive and may limit experiment throughput. 7. Statistical power: limited experimental labels may produce high variance in measured effects. 8. Generalization bounds: learned models may not generalize to unseen specimen types, novel damage modes, or extreme environmental conditions not represented in synthetic priors. 9. Evaluation leakage risk: improper partitioning between destructive validation and training can bias results if not strictly enforced.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