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reflex_memory_ahtm</w:t>
      </w:r>
    </w:p>
    <w:p>
      <w:r>
        <w:t xml:space="preserve"> </w:t>
      </w:r>
    </w:p>
    <w:p>
      <w:pPr>
        <w:pStyle w:val="Heading2"/>
      </w:pPr>
      <w:r>
        <w:t>Title</w:t>
      </w:r>
    </w:p>
    <w:p>
      <w:r>
        <w:t>Hardware-accelerated reflex memory for low-latency first-order inference in hierarchical temporal memory for IoT sequence learning</w:t>
      </w:r>
    </w:p>
    <w:p>
      <w:r>
        <w:t xml:space="preserve"> </w:t>
      </w:r>
    </w:p>
    <w:p>
      <w:pPr>
        <w:pStyle w:val="Heading2"/>
      </w:pPr>
      <w:r>
        <w:t>Short Hypothesis</w:t>
      </w:r>
    </w:p>
    <w:p>
      <w:r>
        <w:t>Adding a spinal-cord-inspired reflex memory (RM) block accessed via a hybrid CAM to an HTM system will reduce first-order prediction latency by at least 5x and energy per first-order inference by at least 2x on repetitive IoT streams while keeping HTM multiorder prediction accuracy within 1% of the baseline.</w:t>
      </w:r>
    </w:p>
    <w:p>
      <w:r>
        <w:t xml:space="preserve"> </w:t>
      </w:r>
    </w:p>
    <w:p>
      <w:pPr>
        <w:pStyle w:val="Heading2"/>
      </w:pPr>
      <w:r>
        <w:t>Related Work</w:t>
      </w:r>
    </w:p>
    <w:p>
      <w:r>
        <w:t>Existing work on hierarchical temporal memory (HTM) provides unsupervised sequence learning that supports multi-step (multiorder) predictions using sparse distributed representations (SDRs). Prior hardware and algorithmic accelerations focus on dense neural or recurrent architectures or on vector similarity search, but they do not target an HTM-style sparse SDR pipeline that separates fast first-order transitions from higher-order sequence context. Content-addressable memories (CAMs) and associative caches accelerate exact or approximate key-to-value lookups in hardware, but prior CAM approaches trade scalability or energy for low latency and often lack integration with biologically inspired gating that preserves a separate learning substrate. Systems that accelerate temporal prediction typically either (a) compress or approximate multiorder learning and lose long-range context, or (b) remain software-bound and suffer from high per-step latency for repetitive transitions. Unresolved issues include slow handling of highly repetitive first-order transitions in HTM, difficulty scaling associative stores to large IoT key sets without excessive false matches, lack of confidence‑aware gating between fast and slow inference paths, and limited reproducible hardware–software integration targeting edge constraints.</w:t>
      </w:r>
    </w:p>
    <w:p>
      <w:r>
        <w:t xml:space="preserve"> </w:t>
      </w:r>
    </w:p>
    <w:p>
      <w:pPr>
        <w:pStyle w:val="Heading2"/>
      </w:pPr>
      <w:r>
        <w:t>Abstract</w:t>
      </w:r>
    </w:p>
    <w:p>
      <w:r>
        <w:t>IoT edge streams often contain many repetitive, first-order transitions that dominate inference cost in biologically inspired sequence learners such as Hierarchical Temporal Memory (HTM). We propose adding a reflex memory (RM) block, inspired by spinal reflex circuits, to handle frequent first-order mappings separately from HTM’s multiorder sequence memory. RM stores recent transition keys and associated next-state sparse codes and is read via a hybrid CAM: a small hot true-CAM for low-latency hits and a larger hashed-SRAM extension for capacity. At inference, RM returns top-k candidate SDRs with confidences; a learned gating function blends the fast RM prediction and HTM’s predictive field, and writes into RM are enabled only when HTM confidence is low and a transition repeats. The main contribution is a hardware-software co-design that accelerates first-order temporal inference while preserving HTM multiorder learning. Expected outcomes are substantial reductions in per-step latency and energy for repetitive IoT patterns, low false-match rates from hybrid CAM design, and preserved multiorder predictive performance from confidence-gated writes.</w:t>
      </w:r>
    </w:p>
    <w:p>
      <w:r>
        <w:t xml:space="preserve"> </w:t>
      </w:r>
    </w:p>
    <w:p>
      <w:pPr>
        <w:pStyle w:val="Heading2"/>
      </w:pPr>
      <w:r>
        <w:t>Methodology</w:t>
      </w:r>
    </w:p>
    <w:p>
      <w:r>
        <w:t>1) Definitions in plain words: SDR (sparse distributed representation) is a binary vector where a small fraction of bits are on; CAM (content-addressable memory) finds stored entries that match an input key; RM is a key→value associative block where key and value are SDRs. 2) Software prototype: implement HTM sequence memory with SDR dimension D=2048 and sparsity s≈2% (~41 active bits). Implement RM as an associative store mapping predecessor SDR keys to next-state SDR values plus a confidence counter. 3) RM lookup and aggregation: on each time step, form a key from current active SDR, query RM for top-k hits (k=4). Each hit returns a value SDR v_i and confidence c_i. Compute normalized weights w_i ∝ exp(β c_i) and aggregate P_rm = (1/Z) ∑ w_i v_i (componentwise). 4) HTM predictive field: compute P_htm ∈ [0,1]^D from HTM distal predictions. Extract scalar confidences c_rm = max_i c_i and c_htm = f(P_htm) (e.g., max probability or calibrated function). 5) Gating and output: compute λ = σ(κ (c_rm − θ_use)) where σ is logistic. Blend P_out = normalize((1−λ) P_htm + λ P_rm). Binarize by selecting the top-s fraction of bits. 6) RM write policy: call Update(key,value) only when c_htm &lt; θ_write AND the same transition repeats at least r times within window T. Maintain per-entry saturating counters and recency epoch. 7) CAM microarchitecture: design hybrid RM storage with hot true-CAM (4k entries baseline) for low-latency matches and hashed-SRAM extension to 16k–64k entries. Each entry stores a compact signature (32–48 bits) and an 8-bit saturating confidence counter. 8) Integration: expose RM driver API (Configure, Lookup, Update, MaintenanceTick, QueryStats) and integrate with HTM inference loop. 9) Instrumentation: record latency, per-lookup energy estimate counters, false-match events, and HTM permanence statistics. 10) Implementation plan: develop software prototype, then RTL for RM CAM, synthesize to target FPGAs and measure latencies and power.</w:t>
      </w:r>
    </w:p>
    <w:p>
      <w:r>
        <w:t xml:space="preserve"> </w:t>
      </w:r>
    </w:p>
    <w:p>
      <w:pPr>
        <w:pStyle w:val="Heading2"/>
      </w:pPr>
      <w:r>
        <w:t>Experiments</w:t>
      </w:r>
    </w:p>
    <w:p>
      <w:r>
        <w:t>Datasets: (a) Synthetic generators with controlled first-order vs higher-order structure, tunable noise, and drift; (b) Intel Lab indoor sensor traces; (c) NAB-like event streams; (d) MIMII anomaly telemetry. Baselines: HTM-only (no RM), RM-only (no HTM context), integrated AHTM (HTM+RM). Fixed operating points: SDR D=2048, s=2%, top-k=4. Hardware targets for latency/energy measurement: mid-range FPGA (e.g., ZCU102/VU9P) and Stratix/Agilex family. Metrics: top-1 and top-4 prediction accuracy, n-step (multiorder) accuracy for n={1,2,4,8}, predictive entropy, per-step latency (µs), per-lookup energy (nJ), RM false-match rate, HTM permanence mean change (%), anomaly detection AUC where labels exist. Statistical plan: run 100 independent seeds per condition; report means and 95% confidence intervals; use paired t-tests or Wilcoxon signed-rank tests for AHTM vs HTM comparisons; perform KS test on permanence distributions. Acceptance criteria example: latency reduction ≥5x for first-order steps and permanence mean shift &lt;1% (non-significant KS). Ablation studies: vary hot-CAM capacity {2k,4k,8k}, hashed-SRAM total entries {16k,32k,64k}, signature bits {32,48}, θ_use in [0.60,0.95], θ_write in [0.05,0.4], r in {1,2,4,8}, decay half-life in [1e2,1e5] steps. Hardware experiments: measure true-CAM path latency and energy, hashed-SRAM path latency and energy, and collision rates under realistic workloads. Adversarial tests: rapid context switches, burst update floods, injected CAM bit flips and hash collisions. Report full set of curves: accuracy vs latency vs energy and false-match vs capacity.</w:t>
      </w:r>
    </w:p>
    <w:p>
      <w:r>
        <w:t xml:space="preserve"> </w:t>
      </w:r>
    </w:p>
    <w:p>
      <w:pPr>
        <w:pStyle w:val="Heading2"/>
      </w:pPr>
      <w:r>
        <w:t>Risk Factors And Limitations</w:t>
      </w:r>
    </w:p>
    <w:p>
      <w:r>
        <w:t>1) False matches: hybrid CAM plus limited signature/ECC may still produce spurious hits, raising error or energy costs. 2) CAM scaling: true-CAM area and routing limit hot-set size; hashed extensions increase latency and collision complexity. 3) Gating misconfiguration: poorly chosen θ_use or θ_write can cause RM to overrule HTM and bias learning, changing permanence statistics. 4) Temporal mapping uncertainty: algorithmic timesteps (T, decay) must be mapped to wall-clock times per platform; incorrect mapping harms write gating and decay behavior. 5) Energy and area budgets: FPGA/ASIC synthesis may show higher-than-expected energy or area, invalidating targets. 6) Distributed/sharded RM: bounded-staleness and reconciliation can produce stale replies that affect downstream decisions. 7) Adversarial sequences: crafted sequences may saturate RM counters or force harmful evictions. 8) Generalization: performance gains on repetitive IoT traces may not transfer to domains with sparse repetition or different SDR statistics. 9) Measurement noise: on-board power measurement error can complicate energy claims. 10) Evaluation bias: unsupervised settings require careful proxy metrics; chosen proxies may not reflect all practical tasks.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