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End-to-end vision-driven quadrupedal locomotion using a selective state-space MAMBA fusion backbone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a selective state-space MAMBA fusion backbone to fuse proprioceptive embeddings and patchified depth tokens will reduce fall rate and increase obstacle-course success compared to latency-matched Transformer fusion when trained end-to-end with PPO under the same compute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addresses vision-driven legged locomotion with three main fusion strategies: (1) attention-based Transformers that fuse visual tokens and proprioception via cross-attention, which provide flexible cross-modal interactions but incur quadratic compute and memory cost with token length and can be sensitive to appearance and occlusion; (2) recurrent models (LSTM/GRU) that compress time but have limited long-horizon modeling and struggle with spatially structured visual tokens; and (3) MLP-only or late-fusion approaches that concatenate encoder outputs, which are simple and cheap but lack explicit temporal foresight and structured long-range dependencies. Selective state-space and state-space models (SSMs) have recently been used to model long-range temporal dependencies with near-linear cost, but existing SSM uses either full dense scanning (higher cost) or are applied to single modality time series. Limitations across existing approaches include poor token-length scaling, limited long-horizon foresight, sensitivity to image appearance and occlusion, and insufficient fair compute-matched comparisons in prior evaluations.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introduce a vision-driven locomotion framework that fuses proprioception and depth using a selective state-space backbone called MAMBA. The system embeds proprioceptive states with a small MLP and converts depth frames into spatial tokens via a CNN patchifier. MAMBA selectively scans and fuses tokens with a hybrid short/long scan schedule so the model keeps local context every control step and a longer coarse context periodically, yielding near-linear compute scaling with token length. During training the gating is relaxed (Concrete/Gumbel-Sigmoid) to allow gradients and a deterministic top-K policy is used at evaluation. The policy is trained end-to-end with PPO and auxiliary prediction heads, combined with terrain/appearance randomization and an obstacle curriculum. The main contribution is a cross-modal selective-scan fusion design that aims to provide long-horizon foresight, robustness to token count and image resolution, and better real-time performance than latency-matched Transformer baselines. Expected outcome: improved obstacle-course success and lower fall rates under matched real-time compute constraints.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Build an end-to-end PPO agent whose observation pipeline produces a single token stream: one proprioceptive token plus spatial depth tokens. Fuse tokens with stacked MAMBA selective state-space layers. Train actor and critic on fused features with PPO and a few auxiliary losses.</w:t>
        <w:br/>
        <w:br/>
        <w:t>1) Observations and tokenization</w:t>
        <w:br/>
        <w:t>- Proprioception: 86-d vector (orientation, angular/linear velocity, base height, joint positions/velocities/torques, foot contacts, foot positions, commanded velocity, gait phase). Normalize each channel with running mean/std and clip to ±5σ. Optionally include a short history of N=4 frames for temporal cues.</w:t>
        <w:br/>
        <w:t>- Depth: crop/resize depth to 72×128 (example). Patchify into 8×16 patches → 128 tokens. Each patch projected by a small CNN/projection layer to token_dim=128. Add 2D sinusoidal position encodings and a modality token.</w:t>
        <w:br/>
        <w:br/>
        <w:t>2) Proprio MLP encoder</w:t>
        <w:br/>
        <w:t>- Input: normalized 86-d (or 86×N history). MLP body: Linear→LayerNorm→GELU→Linear residual block (256→256) then project to 128-d token. Initialization: orthogonal; dropout 0.05.</w:t>
        <w:br/>
        <w:br/>
        <w:t>3) MAMBA selective-scan fusion</w:t>
        <w:br/>
        <w:t>- Stack S MAMBA layers (candidate S ∈ {4,8}). Each MAMBA layer implements selective scanning: perform a short local scan every control step and an occasional long coarse scan.</w:t>
        <w:br/>
        <w:t>- Scan schedule: L_local = 32 tokens per step; L_long = 256 tokens every K = 4 steps. Gating: per-token importance = L2 norm of recent embedding delta + attention-energy term.</w:t>
        <w:br/>
        <w:t>- Training gate: Concrete/Gumbel-Sigmoid relaxation with temperature anneal (start τ=1.0 → τ=0.1 over first 5M steps) and an L1 sparsity/budget penalty. At eval switch to deterministic top-B selection (B=64) or top-p=0.25.</w:t>
        <w:br/>
        <w:br/>
        <w:t>4) Auxiliary heads</w:t>
        <w:br/>
        <w:t>- On fused latent produce: (a) short-horizon proprio next-state (Huber loss) for 0.1–0.5 s, (b) 1–4 step reward prediction (MSE/Huber), (c) binary contact/impact prediction (cross-entropy). Start aux weight 0.1 then anneal to 0.02 over 20M steps. Use gradient scaling or separate optimizer (smaller LR) for aux heads.</w:t>
        <w:br/>
        <w:br/>
        <w:t>5) Policy training</w:t>
        <w:br/>
        <w:t>- PPO with optimizer param-groups: actor lr 3e-4, critic lr 1e-3, encoders lr 3e-4, MAMBA lr 1e-4. Weight decay 1e-5, gradient clip norm 0.5. Batch settings: 16k env-steps per update, 8 epochs, minibatch 1024.</w:t>
        <w:br/>
        <w:br/>
        <w:t>6) Domain randomization and curriculum</w:t>
        <w:br/>
        <w:t>- Randomize textures, friction, slopes, and depth noise (depth-proportional Gaussian, dropout blocks 0–20%, quantization). Use an obstacle-density curriculum: increase obstacle density when rolling success over short window exceeds threshold.</w:t>
        <w:br/>
        <w:br/>
        <w:t>7) Logging and gating diagnostics</w:t>
        <w:br/>
        <w:t>- Log gate entropy, fraction-active tokens, gate-logit gradient norms, scan budget utilization, value-pred error, forward FLOPs, per-step latency. Use deterministic seeds and containerized runs for reproducibility.</w:t>
        <w:br/>
        <w:br/>
        <w:t>Technical term notes: "token" = a fixed-length vector representing a small image patch or proprioception; "selective scan" = choosing a subset of tokens to process to save compute; "Gumbel-Sigmoid/Concrete" = a smooth approximation to binary decisions allowing gradients.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 and robot</w:t>
        <w:br/>
        <w:t>- Simulation: NVIDIA Isaac Gym (GPU-parallel) with a Unitree A1-like robot model mapped to sim: mass 12.5 kg, inertia approximated by URDF default links, joint torque limit 33 Nm, joint velocity limit 20 rad/s, encoder resolution equivalent to 4096 ticks. Depth camera: Intel RealSense D435 profile: FOV ≈ 69°×42°, depth range 0.2–10 m, baseline latency modeled 30 ms with Gaussian jitter (σ=10 ms). Map these to sim sensors: depth noise σ_depth = 0.02·depth + 0.01 m, structured dropout up to 20%, quantize to 11 bits.</w:t>
        <w:br/>
        <w:t>- HIL target (for transfer tests): Unitree A1 or equivalent quadruped with same mass and torque specs; verify exact hardware before HIL.</w:t>
        <w:br/>
        <w:br/>
        <w:t>Datasets / course suite</w:t>
        <w:br/>
        <w:t>- Procedural obstacle courses with three difficulty tiers: easy (sparse obstacles, flat terrain), medium (ramps, steps, small gaps), hard (dense random obstacles, variable slopes). Include unseen terrain holdouts for generalization testing. For appearance tests use held-out texture/lighting seeds.</w:t>
        <w:br/>
        <w:br/>
        <w:t>Baselines</w:t>
        <w:br/>
        <w:t>- MAMBA (selective-scan) main method.</w:t>
        <w:br/>
        <w:t>- Transformer fusion: 6-layer Transformer encoder, hidden dim 256, 8 heads, token budget matched to MAMBA tokens; scale widths so single-forward latency matches MAMBA within ±10% on target GPU.</w:t>
        <w:br/>
        <w:t>- LSTM fusion: 2-layer LSTM with hidden size 512 consuming proprio and pooled visual features.</w:t>
        <w:br/>
        <w:t>- MLP-only: concatenated proprio + global pooled visual embedding → 3-layer MLP 1024→512→256.</w:t>
        <w:br/>
        <w:t>- Late-attention: visual encoder then 2-layer attention head (hidden 128) that attends into actor.</w:t>
        <w:br/>
        <w:br/>
        <w:t>Latency-matching protocol</w:t>
        <w:br/>
        <w:t>- Measure single-forward latency and 95th-percentile tail on target GPU. Adjust Transformer width/depth and LSTM hidden size to match MAMBA latency within ±10% and report FLOPs/params.</w:t>
        <w:br/>
        <w:br/>
        <w:t>Training and seeds</w:t>
        <w:br/>
        <w:t>- Pilot: 3 seeds per config to estimate variance. Primary comparisons: N=10 independent seeds for MAMBA vs Transformer vs proprio-only. Ablations: N=5 seeds. Record all seeds and config metadata.</w:t>
        <w:br/>
        <w:br/>
        <w:t>Evaluation metrics</w:t>
        <w:br/>
        <w:t>- Primary: obstacle-course success rate (complete course within time budget), fall rate (base height &lt;0.15 m or pitch/roll &gt;30°), energy per meter (sum torque^2 / distance).</w:t>
        <w:br/>
        <w:t>- Secondary: average forward velocity, recovery time after disturbance, value-prediction error, token-budget utilization, latency tail.</w:t>
        <w:br/>
        <w:br/>
        <w:t>Ablation studies</w:t>
        <w:br/>
        <w:t>- Token budget B ∈ {32,64,128}; L_local ∈ {8,32,64}; L_long ∈ {64,256,512}; K ∈ {1,2,4,8}; gating types {Concrete relaxed, deterministic top-K}; auxiliary losses {on/off}; image resolutions {36×64,72×128,144×256}.</w:t>
        <w:br/>
        <w:br/>
        <w:t>Statistical plan</w:t>
        <w:br/>
        <w:t>- Pre-register primary endpoints (success = reach goal inside time without fall; fall defined above). Tests: paired bootstrap CI and Welch t-test. Effect-size target d=0.6 with power 0.8. Multiple comparisons: Bonferroni correction across pre-registered families. Fixed-n design, no peeking; early stop only if adjusted p &lt; alpha and consistent across ≥80% seeds.</w:t>
        <w:br/>
        <w:br/>
        <w:t>HIL acceptance</w:t>
        <w:br/>
        <w:t>- HIL pass criteria: median closed-loop latency &lt;50 ms, 95th-percentile &lt;100 ms, base-pose RMSE &lt;0.05 m, fall-rate &lt;10% over 100 trials. Execute 100 disturbance trials (pushes, slopes, sensor dropout) for final candidates.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Gating collapse or nonstationarity: learned gates may collapse to trivial patterns, causing loss of long-range context or training instability. 2) Compute and latency limits: selective-scan savings depend on token sparsity; worst-case scenes may exceed latency targets and hurt real-time control. 3) Sim-to-real gap: depth noise, camera calibration, and unmodeled mechanical dynamics may reduce transfer performance. 4) Rare-event sensitivity: rare but critical tokens (e.g., sudden obstacles) might be dropped by gating, causing safety failures. 5) Auxiliary loss interference: auxiliary heads can destabilize PPO if gradients are not scaled or separated. 6) Hardware constraints: actuator torque/thermal limits and sensor latency spikes may prevent some policies from being safely executed on the target robot. 7) Statistical and resource limits: large seed counts and ablation grids require substantial compute; underpowered budgets risk underpowered statistical tests. 8) Limited generalization: policies trained on procedural terrains may still fail on novel, structured obstacles not represented in training. 9) Reproducibility risks: complex gating, domain randomization, and environment nondeterminism can hinder exact replication without full config and seed release.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