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hgmn_ssm_nodeclf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Hypergraph Neural Network with State-Space Models for Node Classification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Integrating role-aware hypergraph structure with per-hyperedge state-space models and a transformer-like fusion of role and adjacency streams yields higher node classification accuracy than adjacency-only GNNs on datasets with higher-order relations.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graph neural networks (GCN, GAT) use pairwise edges and struggle to model higher-order relations; hypergraph neural networks extend message passing to hyperedges but often use simple averaging or static hyperedge weights and lack per-hyperedge temporal or memory dynamics. Recent works employ global state or shared filters for edge groups but scale poorly when each hyperedge needs distinct dynamics. Transformer-based fusion approaches for multi-view node signals exist, yet they typically fuse features without hyperedge-aware attention or explicit role-awareness. State-space models (SSMs) provide memory and stable sequential dynamics in other domains, but prior GNN work rarely couples SSMs per hyperedge with low-rank adapters for parameter efficiency. Limitations across prior approaches include (1) inability to capture role-specific higher-order interactions, (2) over-smoothing when stacking many layers, (3) poor scalability if per-hyperedge parameters are dense, and (4) lack of reproducible hyperedge construction and robustness diagnostics.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propose HGMN-SSM, a method that improves node classification by combining role-aware hypergraph construction, per-hyperedge state-space dynamics, and a transformer-like fusion of role and adjacency feature streams. First, we build hyperedges that capture role clusters, kNN attribute groups, communities, motifs, and egonets, and weight/prune them deterministically to produce a sparse incidence matrix. Second, each hyperedge evolves a compact state via a stable state-space model (SSM) parameterized by a shared base transition plus low-rank per-edge adapters to keep parameters small; the hyperedge states serve as dynamic carriers of higher-order messages. Third, a learnable fusion block cross-attends between role-based and adjacency-based node embeddings to produce fused node queries that read from hyperedge states. Residual connections and spectral-norm projection enforce stability and reduce over-smoothing. The main contribution is an integrated, reproducible pipeline that yields richer node representations by combining role-awareness, per-hyperedge memory, and learned fusion; we expect improved accuracy, robustness to hyperedge perturbations, and better calibration on graphs with non-pairwise structure.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Implementation outline (simple words and concrete shapes): 1) Inputs: adjacency matrix A (sparse), node features X of shape [N, d]. N is number of nodes, d is node embedding dim. 2) Hypergraph construction: run role embedding method (GraphWave or struc2vec) to get R_emb [N, d_r]; cluster R_emb into C role clusters (default C=16). Build hyperedges: role-cluster hyperedges (nodes with cluster membership), kNN hyperedges in feature space (k=10), community hyperedges (Leiden/Louvain), motif instances, and ego hyperedges (node + neighbors). Convert soft role probs to hyperedges by thresholding p&gt;=0.5 or top-k nodes per cluster. Weight each hyperedge e by w_e = normalize(0.5*s_sim + 0.3*(1/sqrt(|e|)) + 0.2*s_role) * log(1+N/|e|). Prune using local top_k_per_node (default 5), global weight threshold τ, and merge hyperedges with Jaccard &gt;0.8. Output C_incidence as sparse COO of shape [N, M]. 3) Hyperedge SSM parameterization: choose node embed dim d (e.g., 128) and hyperedge state dim s (default s=64). Define shared A_base ∈ R^{s×s} initialized near identity scaled by 0.9. For each hyperedge e, store low-rank adapters U_e,V_e ∈ R^{s×r} with r∈{4,8,16}, so A_e = A_base + U_e V_e^T. Initialize U_e,V_e small (Gaussian std=1e-2). Enforce spectral norm constraint ρ(A_e)≤0.99 by per-epoch projection: A_e ← A_e / max(1, ||A_e||_2/0.99). SSM single-step update per layer: h_e' = A_e h_e + B_base m_e, where m_e is attention-weighted sum of node messages in e. Use residual h_e ← h_e + h_e'. 4) FusionBlock API and tensor shapes (defaults): class FusionBlock(d, heads=8, head_dim=None, top_k=64, dropout=0.1). Let head_dim = d / heads. Inputs: x [N,d], R [N,d], Astream [N,d], optional incidence_mask. Compute Q = W_Q x -&gt; [N,d]; form tokens T by concatenating R and Astream tokens to key/value space K/V = W_K [2N,d] and W_V [2N,d], with learned type embeddings for role and adj. Multi-head cross-attention: attn(Q, K_subset, V_subset) with softmax temperature per head τ_h (initialized 1.0). For efficiency restrict K to top_k tokens per node by similarity or incidence. Post-attention: fused = LayerNorm(x + MultiHeadAttn); gate = sigmoid(W_g [x; fused]) shape [N,d]; out = x + gate ⊙ FFN(fused) where FFN is two-layer MLP with hidden dim 4d and dropout. 5) Hypergraph conv layer integration: compute m_e = attention_over_nodes_in_e(node_repr) -&gt; [M,s_input]; run SSM step to update h_e; aggregate hyperedge states back to nodes via incidence multiplication C^T h -&gt; per-node message; apply node residual x ← x + NodeMLP(aggregated) and LayerNorm. 6) Regularizers and defaults: L_comp weight λ_comp=1.0 (complementarity), L_ortho λ_ortho=1e-2, L_div λ_div=1e-2, L_ent λ_ent=1e-3, spectral penalty λ_spec=1e-4. 7) Logging hooks: track nnz, avg hyperedge size, coverage, label purity per hyperedge, spectral norms distribution of A_e, attention entropy, and embedding cosine similarities.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Cora, Citeseer, PubMed, OGBN-ArXiv, PPI, one biochemical interaction graph (small), plus two synthetic datasets (long-range chain and overlapping-role). Baselines: GCN, GAT, SIGN, APPNP, HGNN, HyperGCN. Metrics: node accuracy, macro and micro F1, ROC AUC (if multi-label), Expected Calibration Error (ECE), label purity per hyperedge, coverage (fraction nodes with ≥1 hyperedge), incidence density (nnz/(N·M)), and robustness degradation curves under hyperedge removal. Setup: run each experiment with 5 pilot seeds then 20 confirmation seeds for top configs; fixed stratified splits per dataset; hardware: single GPU (specify GPU in CI); software: PyTorch &gt;=1.10, CUDA pinned in environment. Training recipe: optimizer AdamW, base lr=1e-3, weight decay=1e-5, fusion lr multiplier=3.0, linear warmup over 5 epochs, cosine decay; epochs=200 for citation datasets, early stop on val; batch strategy: full-graph training for small/medium graphs, mini-batch neighborhood sampling for large graphs; grad clip norm=1.0; mixed precision recommended; set torch.backends.cudnn.deterministic=True and torch.manual_seed(seed). Ablation studies: (A) Fusion on vs off; (B) SSM variants: none, shared A_base + per-edge adapters (r in {4,8,16}), per-edge dense A_e (only for small graphs); (C) Hypergraph variants: role-only, adjacency-only (community+motif+ego), attribute-only (kNN), mixed; (D) top_k_per_node ∈ {3,5,8} and M_cap ∈ {N,2N}. For each ablation report mean±std over seeds and run paired Wilcoxon signed-rank tests (α=0.05) comparing top HGMN variant vs strongest baseline. Additional analyses: projection-frequency sweep {none, per-epoch, per-batch} and plot spectral-radius trajectories; robustness tests removing p% hyperedges with p ∈ {1,5,10,20,50} under removal policies (random, top-weighted, role-targeted).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Technical failure modes: per-hyperedge parameters may still grow if M is very large, causing memory blow-up; low-rank adapters reduce but do not eliminate this risk. 2) Stability risks: spectral-norm projection might interfere with optimization and slow convergence if applied too frequently. 3) Over-smoothing: despite residuals, deep stacks can still collapse embeddings on dense hypergraphs. 4) Data and evaluation biases: hyperedge construction (role clustering, motif sampling, kNN) can encode bias from features or sampling choices; results depend on chosen thresholds and clustering seeds. 5) Scalability limits: nnz and M must be pruned for large graphs; streaming or sampling is required beyond mid-scale. 6) Generalization limits: improvements are expected primarily when higher-order relations matter; in purely pairwise graphs HGMN may not outperform tuned pairwise GNNs. 7) Reproducibility constraints: CUDA/CuDNN nondeterminism, different sparse kernels, and environment mismatches can affect small metric differences; strict environment pinning is needed for exact reproduction.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