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Subgraph-based graph neural network with LLM-assisted netlist conversion for analog circuit link prediction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Training a SEAL-style subgraph GNN on canonically converted netlists produced by an LLM-augmented conversion pipeline increases port-level link-prediction ROC-AUC on the SpiceNetlist test set by at least 0.10 compared to topology-only heuristics.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Graph neural networks (GNNs) and classical graph heuristics (degree, common neighbors, Adamic-Adar, Katz) have been applied to link prediction but typically operate on node- or whole-graph embeddings and do not model target-edge subgraphs or port-level semantics. SEAL introduced learning on node-labeled enclosing subgraphs to improve link prediction by capturing local motifs; however, prior applications target social or knowledge graphs rather than analog circuits and rarely include device parameters. Netlist conversion and parsing have been handled by deterministic parsers and rule-based tools; recent work uses large language models (LLMs) with retrieval-augmented generation (RAG) for format conversion, but LLM outputs risk hallucination and lack electrical validation. Existing datasets for circuit link tasks lack annotated analog port-level links across diverse netlist formats, limiting evaluation of format-robust methods. Open gaps: (1) port-level subgraph learning applied to analog circuits, (2) robust LLM-based canonicalization of heterogeneous netlists with validators, and (3) an annotated analog netlist dataset supporting both topology and parameter-aware learning.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Analog circuit link prediction aims to infer which component ports should be connected in a netlist. We propose GNN-ACLP, a method that combines subgraph-based graph neural networks with an LLM-augmented netlist conversion pipeline to improve port-level link prediction across diverse netlist formats. GNN-ACLP uses SEAL-style enclosing subgraphs with double-radius node labeling (DRNL) to represent the local wiring context for each candidate port pair, and trains GNN backbones (e.g., GIN) on node/edge features that include device types and normalized electrical parameters. Netlist Babel Fish is an LLM + retrieval system that converts heterogeneous netlists to a canonical AST and enforces schema and electrical validators to limit hallucinations. We also introduce the SpiceNetlist dataset: 775 annotated analog circuits across multiple types and component classes. The main contribution is integrating robust netlist normalization with subgraph-aware GNN training to improve accuracy and format adaptability for analog link prediction. Expected outcome: substantially higher port-level prediction accuracy and a reproducible toolchain and dataset for research and EDA evaluation.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Netlist canonicalization: convert raw netlists to a canonical abstract-syntax-tree (AST) using Netlist Babel Fish. Netlist Babel Fish uses retrieval-augmented generation (RAG) to provide example conversions to the LLM. RAG means the model receives similar examples retrieved from an index to ground its output. Outputs must pass a JSON schema validator and electrical sanity checks.</w:t>
        <w:br/>
        <w:t>2) Graph construction: represent the canonical AST as an undirected graph where nodes are component ports or component instances and edges are net ties. Attach node features: one-hot device type, model id embedding, numeric parameters (R, C, L, W, length, Vth, gm) converted to SI units, log10-transformed, and z-score normalized; port-role tokens (input/output/passive); hierarchical depth token; and a behavioral/subckt fingerprint token. Attach edge features: net type (wire/supply/ground), directed flag, coupling flag, net-degree estimate, and provenance flag.</w:t>
        <w:br/>
        <w:t>3) Subgraph extraction: for each candidate port pair produce an enclosing subgraph using SEAL with double-radius node labeling (DRNL) and radius k=3. DRNL assigns each node a pair of distances to the two target nodes to capture relative position.</w:t>
        <w:br/>
        <w:t>4) Training pairs and negatives: generate positive pairs from annotated links; offline negative sampling ratio 5:1 (neg:pos) per epoch with stratification by component type. Use online hard-negative mining every 5 epochs replaying top 2% highest-loss negatives.</w:t>
        <w:br/>
        <w:t>5) GNN models: use SEAL-style encoder where node labels (DRNL vectors) are injected as features and apply GNN backbones (GIN, GraphSAGE) to subgraphs; aggregate a learned subgraph embedding then a classifier predicts link probability. Use binary cross-entropy loss with class weighting and optional label smoothing.</w:t>
        <w:br/>
        <w:t>6) Calibration and validators: produce calibrated probabilities (temperature scaling or isotonic regression) and compute Brier score and ECE. Provide conversion-confidence per netlist combining retriever score, schema pass, round-trip match, and optional simulation smoke-test.</w:t>
        <w:br/>
        <w:t>7) Artifacts: export JSON schemas, conversion prompt templates, canonical corpus for RAG, dataset splits with seeds, and a Dockerized reproducible baseline training run.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dataset is SpiceNetlist (775 annotated circuits, 7 circuit types, 10 component classes). Create three split recipes: per-circuit stratified, per-family holdout, and novel-family OOD (10–15% families withheld). Provide train/val/test manifests and seeds.</w:t>
        <w:br/>
        <w:t>Baselines: (1) heuristics: degree, common neighbors, Adamic-Adar, preferential attachment, Katz; (2) logistic regression on handcrafted topology features; (3) SEAL topology-only (no parameter features); (4) SEAL + parameters but without netlist canonicalization (using raw parsed nets); (5) randomized-feature control.</w:t>
        <w:br/>
        <w:t>Metrics: ROC-AUC, average precision (AP), precision@k (k=10), recall@k, MRR, Brier score, expected calibration error (ECE). Report 95% bootstrap confidence intervals with 10,000 resamples. Use paired Wilcoxon signed-rank test with Benjamini-Hochberg correction for model comparisons.</w:t>
        <w:br/>
        <w:t>Training setup: GNN backbones GIN and GraphSAGE; hyperparameter grid hidden_dim {64,128,256,512}, layers {2,3,4,6}, lr {1e-4,3e-4,1e-3,3e-3}, weight_decay {0,1e-5,1e-4}, batch {32,64,128,256}; run ASHA with 200 trials on 2 GPUs. Fixed random seeds for reproducibility; log experiment metadata.</w:t>
        <w:br/>
        <w:t>Ablations: (A) remove DRNL positional encoding, (B) remove device numeric parameters, (C) replace canonicalized netlists with raw varied-format inputs to measure Netlist Babel Fish impact, (D) vary DRNL radius k in {2,3,4}.</w:t>
        <w:br/>
        <w:t>Statistical and calibration evaluation: compute per-circuit metrics and aggregate, report per-class precision@k, calibration reliability diagrams, and Brier score. Simulation validation: select 150 stratified circuits; for predicted link reconstructions run ngspice smoke tests and compare DC operating point and small-signal gain differences; report pass rates and distribution of deviations.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Netlist conversion hallucination: LLMs may output syntactically valid but semantically incorrect conversions leading to bad training labels. 2) Data scarcity and class imbalance: 775 circuits may be insufficient to cover rare circuit families or component combinations, reducing generalization to unseen designs. 3) Label noise: annotation errors or inconsistent port labeling can bias training and inflate evaluation metrics. 4) Format heterogeneity: some netlist idioms or vendor-specific constructs may not be fully canonicalized, causing systematic errors. 5) Simulation mismatch: ngspice smoke tests may not detect subtle functional differences; simulation models may differ from annotated parameter semantics. 6) Scalability: SEAL subgraph extraction and per-candidate subgraph processing scales poorly with large circuits and many candidate pairs, increasing compute and memory needs. 7) Negative sampling pitfalls: poor negative selection can under- or over-estimate performance; hard-negative mining may overfit to adversarial negatives. 8) Compute costs and reproducibility: hyperparameter searches and calibration require nontrivial GPU/CPU resources, limiting reproducibility for teams with smaller compute budgets. 9) Legal/licensing limits: the canonical corpus and LLM fine-tuning data may have licensing constraints that restrict public release, limiting dataset completeness.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