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ai_for_hpc_operations</w:t>
      </w:r>
    </w:p>
    <w:p>
      <w:r>
        <w:t xml:space="preserve"> </w:t>
      </w:r>
    </w:p>
    <w:p>
      <w:pPr>
        <w:pStyle w:val="Heading2"/>
      </w:pPr>
      <w:r>
        <w:t>Title</w:t>
      </w:r>
    </w:p>
    <w:p>
      <w:r>
        <w:t>Systematic evaluation of AI-driven models for improving operational efficiency in high-performance computing systems</w:t>
      </w:r>
    </w:p>
    <w:p>
      <w:r>
        <w:t xml:space="preserve"> </w:t>
      </w:r>
    </w:p>
    <w:p>
      <w:pPr>
        <w:pStyle w:val="Heading2"/>
      </w:pPr>
      <w:r>
        <w:t>Short Hypothesis</w:t>
      </w:r>
    </w:p>
    <w:p>
      <w:r>
        <w:t>Integrating calibrated AI models for scheduling, performance estimation, and fault detection into HPC operational pipelines will reduce median time-to-solution by at least 5% and median fault diagnosis latency by at least 20% compared to rule-based baselines under matched workloads.</w:t>
      </w:r>
    </w:p>
    <w:p>
      <w:r>
        <w:t xml:space="preserve"> </w:t>
      </w:r>
    </w:p>
    <w:p>
      <w:pPr>
        <w:pStyle w:val="Heading2"/>
      </w:pPr>
      <w:r>
        <w:t>Related Work</w:t>
      </w:r>
    </w:p>
    <w:p>
      <w:r>
        <w:t>Recent work (2019–2025) applies machine learning and optimization to HPC tasks such as scheduling, autotuning, performance prediction, surrogate modeling, and fault detection. Analytical baselines (roofline, utilization models) remain common for performance reasoning; ML baselines include Random Forests, Gradient-Boosted Trees, lightweight neural nets, Gaussian processes for uncertainty, and emerging graph neural networks to encode topology. Fault detection literature emphasizes anomaly scoring and supervised classifiers, while LLM-based automation is nascent and focused on log summarization and runbook generation. Key limitations across prior work are: insufficient cross-cluster validation and temporal holdouts (weak generalization claims), lack of calibrated uncertainty and decision-aware evaluation, sparse public telemetry schemas and provenance tagging, limited realism checks for injected faults, and scarce operational rollout procedures including LLM safety tests. Few studies combine calibrated AI, provenance-aware datasets, and operator-in-the-loop rollout with preregistered statistical plans.</w:t>
      </w:r>
    </w:p>
    <w:p>
      <w:r>
        <w:t xml:space="preserve"> </w:t>
      </w:r>
    </w:p>
    <w:p>
      <w:pPr>
        <w:pStyle w:val="Heading2"/>
      </w:pPr>
      <w:r>
        <w:t>Abstract</w:t>
      </w:r>
    </w:p>
    <w:p>
      <w:r>
        <w:t>We study how AI methods (machine learning, surrogate optimization, and language models) can improve operational efficiency in high-performance computing (HPC) systems. We propose a reproducible evaluation framework that pairs versioned, provenance-tagged telemetry captures with canonical analytic and machine-learned baselines across six application areas: performance estimation, performance optimization, scheduling, surrogate modeling, fault detection, and LLM-based automation. The main contribution is an end-to-end protocol: telemetry schema and manifests, fault-injection realism checks, calibrated model baselines (GPs, RFs, GBTs, MLPs, GNNs), a preregistered statistical analysis plan, and a staged LLM rollout/rollback checklist. Expected outcomes are measurable ROI estimates (time-to-solution, energy, throughput), validated fault-detection performance with calibration, cross-machine generalization measures, and safe, auditable LLM automation artifacts. The framework produces reproducible artifacts and sample-size guidance enabling defensible claims about operational impact of AI in HPC.</w:t>
      </w:r>
    </w:p>
    <w:p>
      <w:r>
        <w:t xml:space="preserve"> </w:t>
      </w:r>
    </w:p>
    <w:p>
      <w:pPr>
        <w:pStyle w:val="Heading2"/>
      </w:pPr>
      <w:r>
        <w:t>Methodology</w:t>
      </w:r>
    </w:p>
    <w:p>
      <w:r>
        <w:t>1) Data and telemetry: collect synchronized telemetry streams using a versioned schema (timestamps, source_id, job_id, metric, units, sampling_rate, topology context, provenance flag). Provenance flags label traces as real, injected_realistic, or synthetic. Provide manifests describing hardware and software. 2) Fault injections: implement deterministic injection tools (CPU throttling, netem, fio, GPU slowdowns) that emit ground-truth event streams. Validate injected traces against a reference incident corpus with simple statistical checks (KS test for scalar distributions, DTW for multivariate traces, 1-Wasserstein for distribution distance). 3) Model suite: implement analytic baselines (roofline, utilization), and ML baselines: Gaussian processes (GPs) with uncertainty calibration, Random Forests (RF), Gradient-Boosted Trees (GBT), small MLPs, and Graph Neural Networks (GNN) that encode tasks and nodes. Explainability: compute SHAP values (feature attributions) and counterfactual suggestions for actions. 4) LLM automation: fine-tune or prompt LLMs on provenance-tagged logs and annotated runbooks; generate diagnostic scripts and playbooks; include static checks and sandboxed dry-runs before any real execution. 5) Evaluation governance: preregister primary/secondary endpoints, data splits (cross-machine, temporal holdout, architecture holdout), statistical tests (ANOVA/GLM omnibus, Wilcoxon or bootstrap for pairs), multiple-testing corrections, and CI gates for schema and smoke tests. 6) Rollout: staged deployment—shadow, advisory (human-in-loop), limited autonomy, full autonomy—with explicit rollback triggers tied to primary metrics and operator override rates. (Definitions: KS test compares distributions; DTW measures time-series shape similarity; 1-Wasserstein measures distribution distance; SHAP explains model predictions.)</w:t>
      </w:r>
    </w:p>
    <w:p>
      <w:r>
        <w:t xml:space="preserve"> </w:t>
      </w:r>
    </w:p>
    <w:p>
      <w:pPr>
        <w:pStyle w:val="Heading2"/>
      </w:pPr>
      <w:r>
        <w:t>Experiments</w:t>
      </w:r>
    </w:p>
    <w:p>
      <w:r>
        <w:t>Datasets: three capture tiers per architecture family (CPU-only, GPU-accelerated, varied interconnects): Pilot: 8–16 nodes ≈200 node-hours; Medium: 64–128 nodes 2k–5k node-hours; Large: 256–512 nodes 10k+ node-hours. Include HPL, HPCG, NAS, STREAM, microbenchmarks, and 3–5 real workflows (e.g., GROMACS, NWChem, a weather model). Inject faults to target positive-instance counts per class: Pilot 200–500, Medium ≥2,000, Large 5k–10k. Baselines: analytical (roofline, utilization, queueing heuristics) and ML baselines (GP, RF, GBT, MLP, GNN). LLM baseline: advisory LLM producing runbook suggestions. Metrics: time-to-solution (seconds), energy-per-job (Joules), scheduler throughput (jobs/hour), AUROC and average precision (for detection), detection latency (seconds), calibration ECE (expected calibration error), reliability diagrams, operator SUS score, and operator-override rate. Data splits: cross-machine holdout (entire machines withheld), temporal holdout (later time window withheld), and architecture holdout. Statistical tests: preregister ANOVA/GLM for omnibus; use Wilcoxon signed-rank or bootstrap CIs for pairwise; apply Holm-Bonferroni or Benjamini-Hochberg correction. Sample-size examples: paired-sample formula N = ((Z1-α/2 + Z1-β)^2 * 2σ^2)/Δ^2 for continuous endpoints. Example: to detect a 5% reduction in time-to-solution assuming mean μ=1000s, Δ=50s, paired-difference SD σ=200s, α=0.05, power=0.8 (Zs ≈1.96,0.84) → N ≈ 251 job pairs. For proportion endpoints use N = (Z1-α/2^2 * p(1−p))/d^2. Example: to estimate detection rate with p=0.8 and margin d=0.05 → N ≈ 246 positives. Ablations: (A) remove topology features vs full features; (B) train on real-only vs real+injected_realistic (provenance-aware); (C) ML-only scheduling vs hybrid rule+ML scheduler; (D) LLM advisory vs LLM-limited autonomy. Reporting: publish raw traces, manifests, seeds, model configs, and analysis scripts for reproducibility.</w:t>
      </w:r>
    </w:p>
    <w:p>
      <w:r>
        <w:t xml:space="preserve"> </w:t>
      </w:r>
    </w:p>
    <w:p>
      <w:pPr>
        <w:pStyle w:val="Heading2"/>
      </w:pPr>
      <w:r>
        <w:t>Risk Factors And Limitations</w:t>
      </w:r>
    </w:p>
    <w:p>
      <w:r>
        <w:t>1) Injection realism: injected faults may not match production incidents, causing models to overfit to synthetic artifacts. 2) Contamination risk: improper provenance handling may leak injected traces into training/validation splits and bias results. 3) LLM failures: hallucinations or plausible-but-wrong remediation scripts can cause silent failures not detected by simple unit tests. 4) Operator trust: low explainability or high override rates can prevent adoption. 5) Compute and storage costs: collecting large telemetry and training models (especially GNNs and GPs) can require significant GPU-hours and storage. 6) Latency constraints: some models may not meet inference budgets (&lt;100 ms node-level, &lt;1 s scheduler-level), limiting online use. 7) Generalization limits: models trained on one site or architecture may not transfer to others without adaptation. 8) Statistical uncertainty: effect sizes may be smaller than assumed, requiring larger samples than budgeted. 9) Data privacy: cross-site sharing risks PII leakage if redaction/hashing is imperfect. 10) Single points of failure: reliance on manifest/provenance signing and operator availability can delay rollout or recovery.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