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variational quantum circuits into LSTM gates and attention will reduce test RMSE for spatial permeability prediction by at least 5% relative to a capacity-matched classical LSTM with attention under the defined simulator pretraining and hardware fine-tuning protocol.</w:t>
      </w:r>
    </w:p>
    <w:p>
      <w:r>
        <w:t xml:space="preserve"> </w:t>
      </w:r>
    </w:p>
    <w:p>
      <w:pPr>
        <w:pStyle w:val="Heading2"/>
      </w:pPr>
      <w:r>
        <w:t>Related Work</w:t>
      </w:r>
    </w:p>
    <w:p>
      <w:r>
        <w:t>Classical recurrent models (LSTM) with attention are used for spatial and temporal mapping of reservoir properties but can struggle with complex spatial patterns and uncertainty calibration. Recent work integrates variational quantum circuits (VQCs) into neural networks to increase representational richness through quantum principles like entanglement and superposition; hybrid quantum-classical frameworks have shown promise on small-scale tasks. Open limitations include limited qubit counts on hardware, noise and shot costs that degrade performance, barren-plateau training issues (vanishing gradients) for deep parameterized circuits, and a lack of geologically realistic evaluation protocols in prior quantum ML studies. Prior studies also often lack capacity-matched classical baselines, robust uncertainty quantification, and domain-aware evaluation (facies, faults, anisotropy) required for reservoir prediction tasks.</w:t>
      </w:r>
    </w:p>
    <w:p>
      <w:r>
        <w:t xml:space="preserve"> </w:t>
      </w:r>
    </w:p>
    <w:p>
      <w:pPr>
        <w:pStyle w:val="Heading2"/>
      </w:pPr>
      <w:r>
        <w:t>Abstract</w:t>
      </w:r>
    </w:p>
    <w:p>
      <w:r>
        <w:t>We address spatial permeability prediction in oilfield reservoirs by introducing a hybrid quantum-classical model that embeds variational quantum circuits into long short-term memory (LSTM) cells with attention. The model compresses classical LSTM hidden states into low-dimensional inputs for VQCs, uses angle encoding and Pauli-Z expectation values to inform attention logits, and supports two VQC gate configurations (shared and independent) to study qubit effects. Main contributions are: (1) a concrete QLSTMA architecture linking VQCs to LSTM gates and attention, (2) a prioritized ablation matrix over qubit count, ansatz depth, and encoding strategies, and (3) a hybrid training protocol combining simulator pretraining with limited hardware fine-tuning and ensemble-based uncertainty quantification. Expected outcome is measurable improvement in predictive accuracy and calibrated uncertainty versus capacity-matched classical baselines on geologically realistic synthetic and field patch datasets, or a clear decision rule to revert to classical workflows if quantum gains are not statistically significant.</w:t>
      </w:r>
    </w:p>
    <w:p>
      <w:r>
        <w:t xml:space="preserve"> </w:t>
      </w:r>
    </w:p>
    <w:p>
      <w:pPr>
        <w:pStyle w:val="Heading2"/>
      </w:pPr>
      <w:r>
        <w:t>Methodology</w:t>
      </w:r>
    </w:p>
    <w:p>
      <w:r>
        <w:t>1) Data and preprocessing: prepare geologically realistic synthetic permeability fields and field-data patches at 128x128 grid resolution with multi-depth slices. Extract petrophysical features (porosity, lithology, pore-throat proxies, distance-to-fault, local variogram stats) and compress local feature vectors using PCA or a lightweight autoencoder so final encoded vectors fit D channels where D &lt;= qubit count. 2) Model architecture: use a classical LSTM with attention. At each time step, take the LSTM hidden state (shape H), apply PCA to retain K components, then a learned linear projection to dimension D (D &lt;= number of qubits). Scale outputs to [-π, π] and angle-encode them into the VQC. VQC ansatz: hardware-efficient layers of Rx/Rz rotations interleaved with nearest-neighbor entanglers; depth 1–3. Two gate configurations: shared gates (one VQC reused across timesteps/heads) and independent gates (separate VQC per gate). 3) VQC outputs: measure Pauli-Z expectation values on selected qubits (one scalar per attention head). Map these expectations to attention logits, apply softmax to get attention weights, and combine weighted values to produce the attention context. 4) Training: pretrain end-to-end on noiseless/noisy simulators using analytic parameter-shift gradients for VQC parameters and Adam for classical weights (1k–5k steps). Loss = mean squared error (MSE) for permeability plus physics-informed regularizer terms (soft porosity–permeability priors and facies-based bounds) and heteroscedastic weighting if per-observation uncertainty is available. Fine-tune on hardware with SPSA or low-shot optimizers (100–200 steps, 256–2048 shots). 5) Uncertainty: form ensembles (N≈8) of full models and apply conformal prediction to produce calibrated intervals. 6) Interfaces and types: tensors are float32; quantum inputs are D floats mapped to single-qubit rotation angles; VQC outputs are floats (expectation values) mapped back to float32 tensors for attention and gradient flow via PennyLane/PyTorch hybrid nodes.</w:t>
      </w:r>
    </w:p>
    <w:p>
      <w:r>
        <w:t xml:space="preserve"> </w:t>
      </w:r>
    </w:p>
    <w:p>
      <w:pPr>
        <w:pStyle w:val="Heading2"/>
      </w:pPr>
      <w:r>
        <w:t>Experiments</w:t>
      </w:r>
    </w:p>
    <w:p>
      <w:r>
        <w:t>Datasets: (A) Synthetic geologically realistic fields for pretraining producing ≥100k labeled grid-cells aggregated as patches; (B) field-data segmented patches using all available cores/wells. Grid resolution 128x128; multi-depth slices as multi-task outputs. Splits: 70/15/15 train/val/test by patches with spatial stratification by well and structural zone. Seeds: 5 random seeds; 3-fold cross-validation by well (15 total runs per config). Baselines: (1) capacity-matched classical LSTM+temporal attention (trainable parameters ±10%), (2) classical LSTM without attention, (3) parameter-count-matched feed-forward network. Metrics: RMSE, MAE, R^2, continuous ranked probability score (CRPS), structural similarity index (SSIM) for maps, variogram score, per-facies predictive-interval coverage and calibration. Ablation studies (each configuration run with 15 runs = 3 folds × 5 seeds): A1) shared vs independent VQC gates at 4 qubits (priority) — 15 runs each; A2) qubit count sweep: 2, 4, 6 qubits — 15 runs each; A3) ansatz depth sweep: 1–3 entangling layers at 4 qubits — 15 runs each; A4) encoding: rotation-only vs rotation+data re-uploading — 15 runs each; A5) attention variants: temporal-only vs temporal+spatial (facies-informed) vs attention off — 15 runs each. Training budget: simulator pretraining 1k–5k optimizer steps (analytic grads); hardware fine-tuning 100–200 SPSA steps with shots per evaluation ∈ {256,512,1024,2048} where applicable. Statistical testing: compute paired t-tests or paired bootstrap confidence intervals of per-well errors across seeds; apply Holm-Bonferroni correction for multiple comparisons. Success criteria: ≥5% relative RMSE and ≥5% CRPS reduction vs best classical baseline with p &lt; 0.05 after correction, and predictive interval nominal coverage within ±3% per major facies/depth. Decision rule: if criteria fail after simulator + limited hardware fine-tuning, revert to classical production workflow while preserving artifacts.</w:t>
      </w:r>
    </w:p>
    <w:p>
      <w:r>
        <w:t xml:space="preserve"> </w:t>
      </w:r>
    </w:p>
    <w:p>
      <w:pPr>
        <w:pStyle w:val="Heading2"/>
      </w:pPr>
      <w:r>
        <w:t>Risk Factors And Limitations</w:t>
      </w:r>
    </w:p>
    <w:p>
      <w:r>
        <w:t>1) Barren-plateau and trainability: VQCs may exhibit vanishing gradients for certain ansatzes or sizes, preventing effective training. 2) Hardware noise and shot cost: realistic device two-qubit errors and finite shots can erase simulator gains; wall-clock time may be high due to queue latency. 3) Limited qubit count and connectivity: small numbers of qubits restrict expressivity and require heavy dimensionality reduction, which may lose important features. 4) Sample-size and statistical power: fewer than ~34 independent wells/zones may limit ability to detect 5% effects; results may be underpowered. 5) Domain shift: synthetic pretraining may not transfer to field data, causing degraded generalization. 6) Evaluation bias: spatial autocorrelation and nonindependence of grid cells can inflate apparent gains if splits are not properly stratified. 7) Computational cost: simulator pretraining (1k–5k steps) and many ablation runs demand substantial GPU and quantum resource time. 8) Limited generalization: architecture tuned for specific reservoirs or facies distributions may not generalize to different geology or scales.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