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facebook_rural_cancer_prevention</w:t>
      </w:r>
    </w:p>
    <w:p>
      <w:r>
        <w:t xml:space="preserve"> </w:t>
      </w:r>
    </w:p>
    <w:p>
      <w:pPr>
        <w:pStyle w:val="Heading2"/>
      </w:pPr>
      <w:r>
        <w:t>Title</w:t>
      </w:r>
    </w:p>
    <w:p>
      <w:r>
        <w:t>A theory-based, community-engaged Facebook-delivered stepped-wedge pilot to reduce cancer risk behaviors among rural emerging adults</w:t>
      </w:r>
    </w:p>
    <w:p>
      <w:r>
        <w:t xml:space="preserve"> </w:t>
      </w:r>
    </w:p>
    <w:p>
      <w:pPr>
        <w:pStyle w:val="Heading2"/>
      </w:pPr>
      <w:r>
        <w:t>Short Hypothesis</w:t>
      </w:r>
    </w:p>
    <w:p>
      <w:r>
        <w:t>Exposure to a theory-based, co-created Facebook intervention increases standardized self-efficacy scores at 6 weeks among rural emerging adults compared with their pre-intervention control period.</w:t>
      </w:r>
    </w:p>
    <w:p>
      <w:r>
        <w:t xml:space="preserve"> </w:t>
      </w:r>
    </w:p>
    <w:p>
      <w:pPr>
        <w:pStyle w:val="Heading2"/>
      </w:pPr>
      <w:r>
        <w:t>Related Work</w:t>
      </w:r>
    </w:p>
    <w:p>
      <w:r>
        <w:t>Prior work has tested web- and social media-delivered health interventions and community-based prevention programs. Social media interventions can reach young adults and support peer interaction, while community-engaged approaches increase cultural fit. Limitations in existing approaches include: focus on single risk behaviors rather than multi-risk composites; samples concentrated in non-rural or college populations; weak use of theory-driven mediators as preregistered primary outcomes; limited objective measurement in low-connectivity settings; few cluster or stepped-wedge designs that avoid contamination while ensuring all communities receive intervention; sparse operational details on data governance and platform-contingency plans; and underreporting of psychometric choices for self-efficacy and composite scoring. There is therefore a gap in rigorously tested, co-created, multi-behavior social-media interventions tailored for rural emerging adults with clear mediator-focused preregistration and reproducible analytic plans.</w:t>
      </w:r>
    </w:p>
    <w:p>
      <w:r>
        <w:t xml:space="preserve"> </w:t>
      </w:r>
    </w:p>
    <w:p>
      <w:pPr>
        <w:pStyle w:val="Heading2"/>
      </w:pPr>
      <w:r>
        <w:t>Abstract</w:t>
      </w:r>
    </w:p>
    <w:p>
      <w:r>
        <w:t>Rural emerging adults face multiple modifiable cancer risk factors, yet scalable, culturally congruent prevention tools are limited. We propose a theory-driven, community-engaged pilot that delivers co-created behavior-change content via private Facebook groups using a cluster-randomized stepped-wedge rollout. The primary target is standardized self-efficacy at 6 weeks, a proximal mediator of behavior change grounded in Social Cognitive Theory. Secondary outcomes include a pre-specified unweighted z-score composite across six risk domains (tobacco, alcohol, physical activity, diet, sun protection, HPV uptake) and objective measures where feasible. The main contribution is a reproducible pilot design that integrates CBPR co-creation, platform contingency planning, validated measures, and an explicit mediation-focused analysis plan. Expected outcomes are proof-of-concept evidence for increased self-efficacy, initial effect-size estimates for behaviors, feasibility metrics in low-connectivity settings, and operational templates for data governance and fidelity monitoring that support scalable definitive trials.</w:t>
      </w:r>
    </w:p>
    <w:p>
      <w:r>
        <w:t xml:space="preserve"> </w:t>
      </w:r>
    </w:p>
    <w:p>
      <w:pPr>
        <w:pStyle w:val="Heading2"/>
      </w:pPr>
      <w:r>
        <w:t>Methodology</w:t>
      </w:r>
    </w:p>
    <w:p>
      <w:r>
        <w:t>Overview: Use a cluster-randomized stepped-wedge design where clusters are moderated private Facebook groups. Each cluster starts in control (no study content) and transitions to the intervention in staggered waves until all clusters have received the program. Co-creation: engage advisory boards and small co-creation workshops to produce culturally resonant posts, short videos, infographics, and SMS previews. Intervention content: map posts to behavior change techniques from Social Cognitive Theory (SCT), Self-Determination Theory (SDT), and COM-B (Capability, Opportunity, Motivation - Behavior). Delivery: scheduled modular posts over 6 weeks per cohort with moderator prompts and peer-narrative threads. Measurements: collect self-report surveys at baseline, 2, 6, and 12 weeks. Primary measure is standardized self-efficacy (a short validated scale; standardize score to mean 0, SD 1). Secondary measures include past-30-day tobacco and vaping items, AUDIT-C for alcohol, IPAQ-Short or GPAQ for 7-day physical activity, BRFSS fruit/vegetable and sugary drink items, sun-protection index, and HPV vaccination status. Objective options: 7-day wrist accelerometer (store-and-upload) and mailed salivary cotinine kits for tobacco verification. Data linkage: assign pseudonymized IDs to link Facebook engagement logs, SMS logs, and survey/biometric data. Analysis model: preregister a linear mixed-effects model with random intercepts for cluster and participant and fixed effects for time (calendar period), treatment indicator, and baseline covariates. Missing data: use multiple imputation under MAR and report pattern-mixture sensitivity analyses. Mediation: estimate indirect effects of intervention on behaviors via self-efficacy using longitudinal causal mediation (counterfactual framework) and report sensitivity bounds. Fidelity: use moderator checklists mapped to behavior change techniques and automated exposure logs.</w:t>
      </w:r>
    </w:p>
    <w:p>
      <w:r>
        <w:t xml:space="preserve"> </w:t>
      </w:r>
    </w:p>
    <w:p>
      <w:pPr>
        <w:pStyle w:val="Heading2"/>
      </w:pPr>
      <w:r>
        <w:t>Experiments</w:t>
      </w:r>
    </w:p>
    <w:p>
      <w:r>
        <w:t>Primary experiment: pilot stepped-wedge with 8 clusters and target N=160 participants (approx. 20 per cluster). Randomize cluster transition order. Compare participant outcomes during control periods to their outcomes during intervention periods (intention-to-treat). Primary outcome: mean change in standardized self-efficacy from baseline to 6 weeks. Model: linear mixed-effects model Y_ij = beta0 + beta1*treatment_ij + beta2*time_j + beta3*baseline_covariates_i + u_cluster_j + u_participant_i + e_ij, where u terms are random intercepts. Use Kenward-Roger or Satterthwaite degrees-of-freedom for small-sample inference. Secondary outcomes: change in unweighted z-score composite across six behaviors at 12 weeks, HPV uptake proportion at 12 weeks (binary), accelerometer MVPA minutes (continuous), cotinine-verified smoking status (binary), retention rate, and acceptability scores (AIM, SUS). Ablation 1: nested or parallel comparison of SMS-only delivery in 2 clusters (N approx. 40) to assess modality effect; analyze SMS-only vs Facebook cohorts using the same mixed model with a modality indicator. Ablation 2: sensitivity comparing unweighted composite vs clinician-weighted composite. Missing-data analyses: multiple imputation + pattern-mixture / tipping-point sensitivity. Contamination checks: flag cross-posts and inter-cluster membership in Facebook logs; run per-protocol analysis excluding likely contaminated participants. Evaluation metrics: primary effect size (Cohen's d for self-efficacy), 95% CI widths for retention and mediator effects, proportion HPV uptake difference, mean differences for continuous behaviors, and engagement dose-response correlations (Pearson or Spearman). Report exact R or Python scripts (simulation and analysis) in repository.</w:t>
      </w:r>
    </w:p>
    <w:p>
      <w:r>
        <w:t xml:space="preserve"> </w:t>
      </w:r>
    </w:p>
    <w:p>
      <w:pPr>
        <w:pStyle w:val="Heading2"/>
      </w:pPr>
      <w:r>
        <w:t>Risk Factors And Limitations</w:t>
      </w:r>
    </w:p>
    <w:p>
      <w:r>
        <w:t>Technical failures: Facebook API changes or group export restrictions may block engagement data capture. Low connectivity: some participants may be unable to access multimedia content, reducing dose. Measurement bias: self-report for behaviors may be inaccurate and objective measures may have high non-return rates. Contamination: participants may join multiple cohorts or share materials across groups, biasing estimates. Small sample and clustering: pilot sample size limits power and precision; variance-component estimates may be unstable. Generalization: findings from specific rural areas or subgroups (e.g., tribal communities) may not generalize to other rural populations. Privacy and governance constraints: tribal or community data sovereignty rules may restrict data sharing and public reproducibility. Ethical/safety: identifying sensitive disclosures in group posts may require rapid response protocols not measured here. Composite limitations: combining continuous, ordinal, and binary outcomes into a z-score may mask domain-specific effects and complicate clinical interpretation.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