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a2ar_cp_csf_hypersecretion</w:t>
      </w:r>
    </w:p>
    <w:p>
      <w:r>
        <w:t xml:space="preserve"> </w:t>
      </w:r>
    </w:p>
    <w:p>
      <w:pPr>
        <w:pStyle w:val="Heading2"/>
      </w:pPr>
      <w:r>
        <w:t>Title</w:t>
      </w:r>
    </w:p>
    <w:p>
      <w:r>
        <w:t>Choroid plexus-targeted genetic, pharmacologic, imaging, and molecular interrogation of A2A receptor signaling in cerebrospinal fluid hypersecretion and ventriculomegaly</w:t>
      </w:r>
    </w:p>
    <w:p>
      <w:r>
        <w:t xml:space="preserve"> </w:t>
      </w:r>
    </w:p>
    <w:p>
      <w:pPr>
        <w:pStyle w:val="Heading2"/>
      </w:pPr>
      <w:r>
        <w:t>Short Hypothesis</w:t>
      </w:r>
    </w:p>
    <w:p>
      <w:r>
        <w:t>Activation of adenosine A2A receptors (A2AR) in choroid plexus epithelial cells increases CSF secretion and causes ventricular enlargement via PI3K/AKT-dependent SPAK phosphorylation and NF-κB-mediated upregulation of ATP1A2, and pharmacologic A2AR antagonism (istradefylline) prevents these effects.</w:t>
      </w:r>
    </w:p>
    <w:p>
      <w:r>
        <w:t xml:space="preserve"> </w:t>
      </w:r>
    </w:p>
    <w:p>
      <w:pPr>
        <w:pStyle w:val="Heading2"/>
      </w:pPr>
      <w:r>
        <w:t>Related Work</w:t>
      </w:r>
    </w:p>
    <w:p>
      <w:r>
        <w:t>Previous studies link hydrocephalus and ventriculomegaly to choroid plexus (CP) hypersecretion and implicate PI3K/AKT signaling, SPAK phosphorylation, and altered ion transport. A2AR signaling is known to modulate brain inflammation and epithelial function, and A2AR antagonists have been proposed to reduce CSF production. Existing work, however, lacks CP-epithelium-specific genetic causality for A2AR, precise CP PK/PD (unbound CP exposure and occupancy), and multimodal demonstrations that connect receptor occupancy to CSF secretion and ventricular volume. ATP1A2 regulation by SPAK or NF-κB is incompletely validated at functional and trafficking levels. Pediatric/developmental PK, peripheral versus central pharmacology separation, and robust orthogonal assays for ATP1A2 (surface localization, phospho-mapping, functional ouabain sensitivity) are underexplored.</w:t>
      </w:r>
    </w:p>
    <w:p>
      <w:r>
        <w:t xml:space="preserve"> </w:t>
      </w:r>
    </w:p>
    <w:p>
      <w:pPr>
        <w:pStyle w:val="Heading2"/>
      </w:pPr>
      <w:r>
        <w:t>Abstract</w:t>
      </w:r>
    </w:p>
    <w:p>
      <w:r>
        <w:t>Hydrocephalus can result from excessive cerebrospinal fluid (CSF) secretion by the choroid plexus, but the upstream mechanisms linking brain insults to CSF hypersecretion and ventriculomegaly remain unclear. We will test whether aberrant A2A receptor (A2AR) signaling in choroid plexus epithelial cells drives CSF overproduction through two parallel mechanisms: PI3K/AKT-dependent SPAK phosphorylation and NF-κB-mediated transcriptional upregulation of ATP1A2 (a Na+/K+ pump subunit). Using CP-selective genetic loss- and gain-of-function tools, pharmacologic antagonists (istradefylline and comparators), PET receptor-occupancy imaging, molecular perturbations (ChIP, reporters, kinase mutants), functional transport assays (Ussing, 86Rb), and longitudinal MRI CSF-flow and volumetry, we will link receptor engagement to molecular, transport, and imaging outcomes. The main contribution is a causal, translational evidence package that quantifies CP A2AR as a driver of CSF hypersecretion and evaluates istradefylline repurposing. Expected outcomes include mechanistic validation of the SPAK and NF-κB→ATP1A2 pathways, PK/PD thresholds for efficacy, and validated imaging and exosomal biomarkers for clinical translation.</w:t>
      </w:r>
    </w:p>
    <w:p>
      <w:r>
        <w:t xml:space="preserve"> </w:t>
      </w:r>
    </w:p>
    <w:p>
      <w:pPr>
        <w:pStyle w:val="Heading2"/>
      </w:pPr>
      <w:r>
        <w:t>Methodology</w:t>
      </w:r>
    </w:p>
    <w:p>
      <w:r>
        <w:t>1) Genetic tools: generate or obtain Ttr-CreERT2 x Adora2a(fl/fl) mice for tamoxifen-inducible, choroid-plexus-epithelium-specific A2AR knockout. Deliver AAV2/5 or AAV9 into the lateral ventricle that encodes doxycycline-inducible shRNA or CRISPRi/CRISPRa under a CP-specific promoter to allow reversible, timed knockdown and rescue. (Ttr = transthyretin promoter; AAV = adeno-associated virus; doxycycline inducible = gene expression turned on/off by drug.) 2) Pharmacology and PK/PD: administer istradefylline orally to rodents using human-relevant formulation. Measure plasma, CSF, whole brain, and microdissected CP levels by LC–MS/MS; determine unbound fraction (fu) by equilibrium dialysis and compute Kp and Kp,uu for CP. Perform small-animal PET with [18F]MNI-444 to quantify CP receptor occupancy; validate with ex vivo autoradiography. 3) Molecular causality: test NF-κB→ATP1A2 by ChIP-qPCR for p65 on ATP1A2 promoter, ATP1A2 promoter-luciferase reporters with NF-κB site mutagenesis, and CRISPRi of NF-κB sites in CP-derived cells or organoids. Test SPAK→ATP1A2 by SPAK knockdown and kinase-dead/constitutively active SPAK rescue, phospho-site mapping by targeted phospho-LC–MS, and expression of phosphomimetic/phospho-null ATP1A2 mutants if sites identified. 4) Functional transport assays: use Ussing chambers to measure short-circuit current and ion flux; run ouabain-sensitive 86Rb uptake as a proxy for Na+/K+ pump (86Rb is a rubidium isotope used like potassium). 5) CSF measurement and imaging: perform ventriculo–cisternal perfusion (gold standard CSF production), isotope-dilution as orthogonal biochemical measure, and phase-contrast MRI for aqueductal CSF flow and high-resolution T2 MRI for ventricular volumetry. 6) Biomarkers and single-cell: collect CSF exosomes for ATP1A2 and NF-κB transcripts by ddPCR, perform snRNA-seq and spatial transcriptomics on CP tissue, and validate with multiplex RNAscope and immunofluorescence. 7) Experimental controls: include vehicle, A2AR global knockout, peripherally restricted A2AR antagonist, A1/A2B antagonist arms, SPAK inhibitor arm, and NF-κB inhibitor arm. 8) Sample sizes and timing: molecular n≥6 biological replicates, Ussing n=8–10, longitudinal MRI n=12–15 per group; define acute windows (days 1–7) and chronic windows (weeks 2–4).</w:t>
      </w:r>
    </w:p>
    <w:p>
      <w:r>
        <w:t xml:space="preserve"> </w:t>
      </w:r>
    </w:p>
    <w:p>
      <w:pPr>
        <w:pStyle w:val="Heading2"/>
      </w:pPr>
      <w:r>
        <w:t>Experiments</w:t>
      </w:r>
    </w:p>
    <w:p>
      <w:r>
        <w:t>1) Animal models and groups: use adult rodents in kaolin-induced communicating hydrocephalus (subacute–chronic), intraventricular hemorrhage/blood-product infusion model (acute), and neonatal/post-hemorrhagic model for pediatric relevance. Randomize animals to: (A) vehicle, (B) istradefylline oral, (C) CP-specific Adora2a knockout (tamoxifen), (D) knockout + CP-targeted AAV-A2AR rescue, (E) peripherally restricted A2AR antagonist, (F) SPAK inhibitor (ZT-1a), (G) NF-κB inhibitor. N per group: longitudinal MRI cohorts n=12–15; molecular cohorts n≥6; Ussing/86Rb n=8–10. 2) Baselines and timepoints: acquire baseline MRI and CSF samples pre-insult; treat according to acute (days 0–7) or chronic (weeks 2–4) paradigms; sample at 48–72 h, 1 week, and weekly to 4 weeks. 3) Primary endpoints and metrics: CP A2AR occupancy by PET (% occupancy); CP p-AKT and p-SPAK levels (Western or targeted phospho-LC–MS; report percent reduction vs vehicle); ATP1A2 mRNA (qPCR) and protein (targeted proteomics; fold change); CSF production rate (µL/min and % change by ventriculo–cisternal perfusion); ventricular volume (% change by MRI); ouabain-sensitive 86Rb uptake (counts per minute normalized); aqueductal CSF flow (µL/beat or stroke volume). 4) Secondary endpoints: CSF exosomal ATP1A2 and NF-κB transcripts (copies/µL), telemetry HR/BP changes (%), cytokine panel in plasma and CSF. 5) Baselines and controls: sham-operated and vehicle-treated animals as negative controls; global A2AR KO as positive genetic control for target loss. 6) Ablation/comparison study: compare CP-A2AR genetic KO (group C) vs pharmacologic blockade (group B) vs rescue (group D) to test cell-type specificity and reversibility. Compare SPAK inhibitor (F) and NF-κB inhibitor (G) arms to determine which pathway mediates ATP1A2 regulation. 7) Statistical analysis: use preregistered mixed-effects longitudinal models for MRI and repeated measures, ANOVA or nonparametric tests for molecular endpoints, multiplicity control by hierarchical testing (primary endpoints first), and report effect sizes with 95% CI. 8) Reproducibility: run an independent blinded replication cohort for primary endpoints before GLP or IND steps.</w:t>
      </w:r>
    </w:p>
    <w:p>
      <w:r>
        <w:t xml:space="preserve"> </w:t>
      </w:r>
    </w:p>
    <w:p>
      <w:pPr>
        <w:pStyle w:val="Heading2"/>
      </w:pPr>
      <w:r>
        <w:t>Risk Factors And Limitations</w:t>
      </w:r>
    </w:p>
    <w:p>
      <w:r>
        <w:t>1) Technical sensitivity: PET spatial resolution in small rodents may not localize CP precisely; ex vivo autoradiography partly mitigates but limits live longitudinal occupancy data. 2) PK/PD uncertainty: istradefylline may not reach required unbound CP exposure (Kp,uu) at tolerable doses, limiting translational relevance. 3) Off-target/systemic effects: A2AR antagonism can alter cardiovascular or immune parameters and confound CSF outcomes; peripherally restricted comparator drugs and continuous telemetry are required to detect this. 4) Genetic compensation: inducible knockouts may still trigger compensatory changes in transporters or signaling that mask acute effects. 5) Antibody and assay specificity: phospho-antibodies and ATP1A2 antibodies may lack specificity in CP; mass-spectrometry validation may be needed. 6) Surgical and attrition risks: hydrocephalus models and intracerebral injections have morbidity that can reduce sample sizes and bias outcomes. 7) Scaling to human infants: BBB and choroid plexus developmental differences limit PBPK extrapolation and require neonatal-specific studies. 8) Organoid and tissue heterogeneity: CP organoids may not capture in vivo polarity or microenvironment, limiting direct comparison. 9) Statistical and multiplicity risk: multiple endpoints increase false-positive risk without strict pre-specified testing order. 10) Regulatory and timeline constraints: generating CP-specific lines, juvenile GLP tox, and multi-site replication extend timelines before IND readiness.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