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laboratory_error_ttp_3year</w:t>
      </w:r>
    </w:p>
    <w:p>
      <w:r>
        <w:t xml:space="preserve"> </w:t>
      </w:r>
    </w:p>
    <w:p>
      <w:pPr>
        <w:pStyle w:val="Heading2"/>
      </w:pPr>
      <w:r>
        <w:t>Title</w:t>
      </w:r>
    </w:p>
    <w:p>
      <w:r>
        <w:t>Three-year retrospective estimation of laboratory testing error rates across the total testing process using capture-recapture, DPMO and Six Sigma metrics</w:t>
      </w:r>
    </w:p>
    <w:p>
      <w:r>
        <w:t xml:space="preserve"> </w:t>
      </w:r>
    </w:p>
    <w:p>
      <w:pPr>
        <w:pStyle w:val="Heading2"/>
      </w:pPr>
      <w:r>
        <w:t>Short Hypothesis</w:t>
      </w:r>
    </w:p>
    <w:p>
      <w:r>
        <w:t>Adjusting reported laboratory error counts with capture–recapture estimates and sentinel-audit sensitivity will produce significantly higher phase-specific DPMO and lower Sigma values than unadjusted reported rates.</w:t>
      </w:r>
    </w:p>
    <w:p>
      <w:r>
        <w:t xml:space="preserve"> </w:t>
      </w:r>
    </w:p>
    <w:p>
      <w:pPr>
        <w:pStyle w:val="Heading2"/>
      </w:pPr>
      <w:r>
        <w:t>Related Work</w:t>
      </w:r>
    </w:p>
    <w:p>
      <w:r>
        <w:t>Prior retrospective hospital studies quantify laboratory errors across pre-analytical, analytical, and post-analytical phases using descriptive statistics, basic error rates (errors per 1,000 tests), and Six Sigma conversions. Existing approaches commonly treat incident reports as complete, use inconsistent denominators (per accession, per test, or per report), and rarely adjust for underreporting. Time-series analyses in prior work are often limited to simple trend plots or unadjusted interrupted time series without robust autocorrelation handling or panel/mixed models for clustering. Methods for panel/reflex/multiplex counting and propagation of uncertainty from denominator adjustments into Sigma are rarely specified. Underreporting is typically ignored or only qualitatively discussed; capture–recapture methods and sentinel audits have been applied infrequently and without detailed sensitivity analyses for dependence or heterogeneity between data sources.</w:t>
      </w:r>
    </w:p>
    <w:p>
      <w:r>
        <w:t xml:space="preserve"> </w:t>
      </w:r>
    </w:p>
    <w:p>
      <w:pPr>
        <w:pStyle w:val="Heading2"/>
      </w:pPr>
      <w:r>
        <w:t>Abstract</w:t>
      </w:r>
    </w:p>
    <w:p>
      <w:r>
        <w:t>Laboratory testing errors threaten patient safety but are often underestimated because reporting systems are incomplete and denominators are inconsistently defined. We propose a three-year retrospective study that combines laboratory information system (LIS) extracts, incident reports, and EMR audit flags to identify and quantify errors across pre-analytical, analytical, and post-analytical phases. We will apply two-source (Chapman) and three-source (log-linear) capture–recapture methods, validated and calibrated by sentinel chart-audits, to adjust observed counts for underreporting and produce phase-specific defects-per-million-opportunities (DPMO) with propagated uncertainty. We will convert DPMO to Sigma metrics (with and without the conventional 1.5σ process shift), apply Poisson/negative-binomial models with offsets for opportunities, and use interrupted time-series and mixed-effects panel models to analyze temporal trends and interventions. The main contribution is an operational, reproducible protocol that yields adjusted DPMO/Sigma estimates with confidence intervals and prespecified denominator rules (analyte vs panel vs reflex), enabling data-driven prioritization of quality-improvement actions in the hospital setting.</w:t>
      </w:r>
    </w:p>
    <w:p>
      <w:r>
        <w:t xml:space="preserve"> </w:t>
      </w:r>
    </w:p>
    <w:p>
      <w:pPr>
        <w:pStyle w:val="Heading2"/>
      </w:pPr>
      <w:r>
        <w:t>Methodology</w:t>
      </w:r>
    </w:p>
    <w:p>
      <w:r>
        <w:t>1) Data sources and extraction: obtain de-identified extracts for a continuous three-year period from LIS (accessions, analyte-level tests, rejection/hemolysis flags), incident reporting system (event IDs, narratives, categories), and EMR audit flags where available. 2) Taxonomy and denominators: adopt ISO 15189 taxonomy mapped to CLSI total testing process; define pre-analytical opportunities = accessioned specimens, analytical opportunities = individual analyte tests performed (count each analyte performed as one opportunity), post-analytical opportunities = completed reports/critical communications. Rules for special cases: panels = count each reported analyte separately if results are produced for each analyte; reflex tests = count the reflexed analyte when it was performed; multiplex assays = count by analyte if analyte-level results are used clinically; duplicate/repeat tests = count each performed instance as one opportunity. 3) Linkage: deterministic join on accession_id/specimen_barcode first; for orphan incidents use probabilistic matching (salted hashed MRN + specimen_type + collection_datetime ±4 hours + test_code) with confidence scores and manual review for matches &lt;0.90. 4) Underreporting adjustment: compute Chapman two-source estimator for incident vs LIS-flag overlap; if a third independent source exists fit log-linear models including interaction terms to model dependence. Explicitly test source dependence by comparing nested models (no interaction vs interaction) using likelihood-ratio tests and AIC/BIC. 5) Sentinel audits: perform chart review on 400 accessions stratified across 2–4 high-risk wards to directly estimate sensitivity (proportion of true events captured by incident logs) and to validate capture–recapture assumptions. 6) Error classification and adjudication: dual independent reviewers code events using the locked coding manual v1.0; adjudicate disagreements in weekly meetings; compute Cohen's kappa and Gwet's AC1; target kappa ≥0.7. 7) Rate calculations and uncertainty: compute DPMO = (errors / opportunities) * 1,000,000. Convert DPMO to Sigma using Sigma = z + shift, where p = DPMO/1,000,000, z = inverse standard normal CDF at 1 - p, and shift = 1.5 for conventional Sigma; report both with and without the 1.5 shift. Propagate uncertainty from adjusted counts using nonparametric bootstrap (2,000 resamples) or analytic variance from log-linear fits; optionally compute delta-method intervals. 8) Temporal and inferential modeling: aggregate monthly; fit Poisson or negative-binomial GLMs with offset = log(opportunities) for phase-level rates; use interrupted time-series with segmented regression and ARIMA/GLS error terms or mixed-effects panel models (random intercepts for wards/providers) to capture clustering and secular trends. 9) Reproducibility: version-control ETL and analysis scripts, store provenance logs, and execute in a containerized environment.</w:t>
      </w:r>
    </w:p>
    <w:p>
      <w:r>
        <w:t xml:space="preserve"> </w:t>
      </w:r>
    </w:p>
    <w:p>
      <w:pPr>
        <w:pStyle w:val="Heading2"/>
      </w:pPr>
      <w:r>
        <w:t>Experiments</w:t>
      </w:r>
    </w:p>
    <w:p>
      <w:r>
        <w:t>Datasets: three-year LIS extract (accessions, analytes, rejections), incident report dataset (events, narratives, reporter role), EMR audit flags (if available), sentinel audit chart-review dataset (n=400 accessions with gold-standard labels). Baselines: A) unadjusted reported error counts and rates (errors per 1,000 tests), B) DPMO computed from reported counts using current denominator rules. Primary evaluations: phase-specific DPMO and Sigma with 95% CIs. Secondary evaluations: change in DPMO/Sigma after adjustment (difference and relative percent change), interrater reliability (Cohen's kappa, Gwet's AC1), model fit (AIC/BIC), and temporal effect estimates (ITS segment coefficients with p-values). Experimental steps: 1) Compute baseline DPMO/Sigma from reported counts. 2) Apply Chapman two-source estimator and compute adjusted counts and DPMO; bootstrap 2,000 resamples to obtain 95% CIs. 3) If third source present, fit log-linear models including interaction terms; compare nested models with likelihood-ratio tests; select model by AIC/BIC. 4) Calibrate capture–recapture results using sentinel-audit sensitivity estimates and propagate uncertainty. 5) Fit Poisson and negative-binomial models with offset = log(opportunities); select overdispersion-appropriate model by deviance/AIC. 6) Interrupted time-series: monthly aggregation; segmented regression with ARIMA residuals; test intervention/time-segment coefficients. Ablation and comparisons: a) Adjustment ablation — compare results without capture–recapture vs with capture–recapture; b) Denominator ablation — compute DPMO per accession vs per test vs per specimen and compare; c) Sigma ablation — report Sigma with and without 1.5σ shift; d) Source-model ablation — two-source Chapman vs three-source log-linear (if available). Significance and multiplicity: control false discovery rate across multiple error-type comparisons using Benjamini–Hochberg at 5%. Model diagnostics: ACF/PACF for residuals, residual plots, and cross-validation of mixed models where feasible.</w:t>
      </w:r>
    </w:p>
    <w:p>
      <w:r>
        <w:t xml:space="preserve"> </w:t>
      </w:r>
    </w:p>
    <w:p>
      <w:pPr>
        <w:pStyle w:val="Heading2"/>
      </w:pPr>
      <w:r>
        <w:t>Risk Factors And Limitations</w:t>
      </w:r>
    </w:p>
    <w:p>
      <w:r>
        <w:t>1) Capture–recapture assumptions: independence between sources and homogeneous catchability may be violated; interactions or heterogeneity can bias estimates. 2) Underreporting residual bias: if all sources miss systematic subsets of events, adjusted counts remain biased. 3) Linkage failure: incomplete or ambiguous matches may exceed predefined exclusion thresholds, causing selection bias. 4) Misclassification: reviewer disagreement or ambiguous narratives can misassign phase or error type, affecting rates and kappa metrics. 5) Sparse counts: rare error categories produce unstable DPMO and Sigma estimates with wide CIs. 6) Denominator ambiguity: counting rules for panels, reflex, and multiplex assays may not generalize to other sites. 7) Sentinel audit representativeness: 400 accessions from select wards may not represent the whole hospital. 8) Temporal confounding and clustering: unmeasured secular changes or correlated provider behavior can bias ITS estimates. 9) Resource limits: manual review and linkage require sustained FTEs; delays may affect timelines. 10) Generalizability: results reflect a single hospital's systems and reporting culture and may not transfer directly to other institutions.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