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NLP-assisted syllabus-level content analysis of AI ethics coverage in Indian computing courses</w:t>
      </w:r>
    </w:p>
    <w:p>
      <w:r>
        <w:t xml:space="preserve"> </w:t>
      </w:r>
    </w:p>
    <w:p>
      <w:pPr>
        <w:pStyle w:val="Heading2"/>
      </w:pPr>
      <w:r>
        <w:t>Short Hypothesis</w:t>
      </w:r>
    </w:p>
    <w:p>
      <w:r>
        <w:t>Computing course syllabi designated as core required courses will contain a lower proportion of explicit, assessable AI ethics learning outcomes and lower Bloom-weighted depth scores than syllabi for elective or dedicated AI-ethics courses.</w:t>
      </w:r>
    </w:p>
    <w:p>
      <w:r>
        <w:t xml:space="preserve"> </w:t>
      </w:r>
    </w:p>
    <w:p>
      <w:pPr>
        <w:pStyle w:val="Heading2"/>
      </w:pPr>
      <w:r>
        <w:t>Related Work</w:t>
      </w:r>
    </w:p>
    <w:p>
      <w:r>
        <w:t>Prior work documents growing inclusion of AI ethics topics in Indian computing education and in specific domains such as health, and presents case studies or small-sample audits of curricula. Existing approaches rely mainly on manual syllabus review, keyword lists, or single-institution analyses. Limitations in prior work include small or convenience samples, lack of stratified national sampling, inadequate multilingual processing, absence of standardized, reproducible metrics for coverage and depth, and limited use of combined automated and manual coding. Few studies evaluate measurement invariance across languages, or provide preregistered indices with sensitivity analyses. These gaps make it hard to estimate national patterns, compare institution types, or produce policy-ready, reproducible evidence.</w:t>
      </w:r>
    </w:p>
    <w:p>
      <w:r>
        <w:t xml:space="preserve"> </w:t>
      </w:r>
    </w:p>
    <w:p>
      <w:pPr>
        <w:pStyle w:val="Heading2"/>
      </w:pPr>
      <w:r>
        <w:t>Abstract</w:t>
      </w:r>
    </w:p>
    <w:p>
      <w:r>
        <w:t>This study investigates how AI ethics is taught across Indian computing curricula by performing a syllabus-level content analysis that combines manual coding with NLP tools. We will collect a stratified sample of publicly available syllabi from major Indian institution types, extract structured metadata, and annotate learning outcomes, topical coverage, pedagogy, and assessment. Automated methods include a domain lexicon, transformer embeddings fine-tuned on annotated examples, and topic models; manual methods include a hierarchical codebook and dual independent coding. We operationalize three preregistered indices—Coverage (proportion of explicit ethics learning outcomes), Bloom-weighted Depth (learning-taxonomy-weighted depth), and Integration (presence in core courses)—and run sensitivity checks across weightings and languages. The main contribution is a reproducible, policy-relevant dataset and analytic pipeline that quantifies gaps in ethics instruction and supports evidence-based curriculum recommendations. Expected outcomes are validated national estimates of ethics coverage, documented pedagogical patterns, and a vetted codebook and tools for scaling to larger corpora.</w:t>
      </w:r>
    </w:p>
    <w:p>
      <w:r>
        <w:t xml:space="preserve"> </w:t>
      </w:r>
    </w:p>
    <w:p>
      <w:pPr>
        <w:pStyle w:val="Heading2"/>
      </w:pPr>
      <w:r>
        <w:t>Methodology</w:t>
      </w:r>
    </w:p>
    <w:p>
      <w:r>
        <w:t>1) Sampling frame and collection: Define strata by institution type (IIT, NIT, IIIT, central university, leading private), region (state groups), program level (UG/PG), and program type (CS/CE/AI/ML). Select a pilot set of 80–100 publicly accessible syllabi (last 3–5 years) using stratified random sampling; plan full-scale 500–800 sample. Exclude non-computing and heavily redacted items. 2) Legal and provenance: For each source record URL, robots.txt outcome, capture timestamp, and license; send permission requests for restricted items. 3) Metadata schema: Capture institution, program, course code, year, language, credits, core/elective, LO list, weekly topics, assessment types, and license. 4) OCR and language pipeline: Apply language detection; use Tesseract/Google Vision OCR for scans; translate non-English texts with an Indic-aware MT model and apply glossary-driven post-editing for key ethics terms. (Glossary: fixed mapping of critical terms to preserve meaning.) 5) Codebook and manual annotation: Develop hierarchical codebook with explicit ethics LO rules, topical tags, pedagogy and assessment codes, and Bloom taxonomy mapping (remember=1..create=6). Conduct two calibration rounds on 20 shared documents and dual independent coding thereafter; log adjudication decisions. 6) NLP models: Build lexicon-driven extractors, fine-tune transformer embeddings on annotated data using active learning cycles, and train supervised classifiers for LO explicitness, topical coverage, pedagogy, and assessment. Use BERTopic for unsupervised thematic discovery. 7) Indices and measurement: Compute Coverage = explicit_ethics_LOs / total_LOs; Bloom-weighted Depth = sum(BloomWeight×ethics_LO_indicator) / sum(BloomWeight_all_LOs); Integration = core_courses_with_ethics / total_core_courses. Predefine alternative weight sets for sensitivity checks. 8) Validation and invariance: Measure inter-rater reliability (Cohen's kappa) for manual codes; evaluate classifier precision/recall per label, and test measurement invariance across languages via multi-group DIF analysis. 9) Reproducibility: Store data, codebook versions, model artifacts, and provenance in a version-controlled repository and preregister analysis plan.</w:t>
      </w:r>
    </w:p>
    <w:p>
      <w:r>
        <w:t xml:space="preserve"> </w:t>
      </w:r>
    </w:p>
    <w:p>
      <w:pPr>
        <w:pStyle w:val="Heading2"/>
      </w:pPr>
      <w:r>
        <w:t>Experiments</w:t>
      </w:r>
    </w:p>
    <w:p>
      <w:r>
        <w:t>Datasets: Pilot dataset of 80–100 stratified syllabi (English + Hindi prioritized); full dataset target 500–800 syllabi across strata and multiple Indian languages (e.g., English, Hindi, Bengali, Tamil, Telugu, Marathi, Kannada, Malayalam, Gujarati). Baselines: (A) manual dual independent coding (gold standard), (B) keyword-search based detection, (C) unsupervised topic model labeling. Models and procedures: split annotated pilot corpus into train (70%), validation (10%), and test (20%) stratified by institution type and language. Train transformer-based classifier fine-tuned on labeled data with active learning cycles adding 200 additional labeled examples if needed. Evaluation metrics: per-label precision, recall, F1; macro- and micro-F1; Cohen's kappa for IRR; bootstrap 95% confidence intervals for Coverage, Bloom-depth, and Integration estimates; ICC for rubric-scored pilot artifacts. Statistical analyses: fit Bayesian hierarchical models for Coverage and Bloom-depth with random intercepts for institution and program; preregister priors (weakly informative normal(0,1) for coefficients, half-Cauchy(0,1) for SDs). Perform multi-group IRT to detect differential item functioning (DIF) across language groups, declare DIF if |log-odds difference|&gt;0.5 with Bayes factor&gt;3. Ablation studies: (1) remove transformer embeddings and use TF-IDF features only; (2) remove lexicon features; (3) train on English-only data then test on Hindi translations. Compare model performance across ablations using test-set macro-F1 and changes in Coverage estimates. Reporting: report classifier confusion matrices, per-stratum Coverage means with design-weighted estimates and bootstrap CIs, and sensitivity of indices under alternate Bloom weightings.</w:t>
      </w:r>
    </w:p>
    <w:p>
      <w:r>
        <w:t xml:space="preserve"> </w:t>
      </w:r>
    </w:p>
    <w:p>
      <w:pPr>
        <w:pStyle w:val="Heading2"/>
      </w:pPr>
      <w:r>
        <w:t>Risk Factors And Limitations</w:t>
      </w:r>
    </w:p>
    <w:p>
      <w:r>
        <w:t>1) Sampling bias: public syllabi availability varies by institution and may bias estimates; institutions without public syllabi will be underrepresented. 2) Legal and ethical constraints: some syllabi may be restricted or copyrighted, limiting data sharing and reproducibility of full texts. 3) OCR and MT errors: scanned or regional-language syllabi may have high OCR/translation error rates that distort semantic labels; errors may not be uniform across languages. 4) Annotation subjectivity: coding of implicit versus explicit LOs and Bloom mapping is interpretive and may introduce systematic coder bias. 5) Limited labeled data: transformer fine-tuning may underperform if annotated examples per label are insufficient, especially for rare topics. 6) Measurement invariance: indices may not be directly comparable across languages if translation or cultural framing alters meaning. 7) Compute and scalability: processing hundreds of scanned, multilingual documents and large transformer models requires substantial compute resources. 8) Generalization limits: results describe sampled public syllabi and may not generalize to actual classroom practice, assessment fidelity, or unpublished internal course materials. 9) Statistical assumptions: hierarchical and IRT models rely on assumptions (e.g., exchangeability, item independence) that may be violated in heterogeneous curricula.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